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2AE" w:rsidRPr="00D93D8D" w:rsidRDefault="00634A99" w:rsidP="00DC06B9">
      <w:pPr>
        <w:tabs>
          <w:tab w:val="left" w:pos="284"/>
        </w:tabs>
        <w:spacing w:after="120"/>
        <w:jc w:val="center"/>
        <w:rPr>
          <w:rFonts w:asciiTheme="minorHAnsi" w:hAnsiTheme="minorHAnsi" w:cs="Arial"/>
          <w:b/>
          <w:u w:val="single"/>
          <w:lang w:val="fr-FR"/>
        </w:rPr>
      </w:pPr>
      <w:r w:rsidRPr="00D93D8D">
        <w:rPr>
          <w:rFonts w:asciiTheme="minorHAnsi" w:hAnsiTheme="minorHAnsi" w:cs="Arial"/>
          <w:b/>
          <w:u w:val="single"/>
          <w:lang w:val="fr-FR"/>
        </w:rPr>
        <w:t>Manifest</w:t>
      </w:r>
      <w:r w:rsidR="006B3763" w:rsidRPr="00D93D8D">
        <w:rPr>
          <w:rFonts w:asciiTheme="minorHAnsi" w:hAnsiTheme="minorHAnsi" w:cs="Arial"/>
          <w:b/>
          <w:u w:val="single"/>
          <w:lang w:val="fr-FR"/>
        </w:rPr>
        <w:t>e</w:t>
      </w:r>
      <w:r w:rsidRPr="00D93D8D">
        <w:rPr>
          <w:rFonts w:asciiTheme="minorHAnsi" w:hAnsiTheme="minorHAnsi" w:cs="Arial"/>
          <w:b/>
          <w:u w:val="single"/>
          <w:lang w:val="fr-FR"/>
        </w:rPr>
        <w:t xml:space="preserve"> </w:t>
      </w:r>
      <w:r w:rsidR="00F1463D">
        <w:rPr>
          <w:rFonts w:asciiTheme="minorHAnsi" w:hAnsiTheme="minorHAnsi" w:cs="Arial"/>
          <w:b/>
          <w:u w:val="single"/>
          <w:lang w:val="fr-FR"/>
        </w:rPr>
        <w:t xml:space="preserve">pour </w:t>
      </w:r>
      <w:r w:rsidR="00A768C8">
        <w:rPr>
          <w:rFonts w:asciiTheme="minorHAnsi" w:hAnsiTheme="minorHAnsi" w:cs="Arial"/>
          <w:b/>
          <w:u w:val="single"/>
          <w:lang w:val="fr-FR"/>
        </w:rPr>
        <w:t>une</w:t>
      </w:r>
      <w:r w:rsidR="008C2458" w:rsidRPr="00D93D8D">
        <w:rPr>
          <w:rFonts w:asciiTheme="minorHAnsi" w:hAnsiTheme="minorHAnsi" w:cs="Arial"/>
          <w:b/>
          <w:u w:val="single"/>
          <w:lang w:val="fr-FR"/>
        </w:rPr>
        <w:t xml:space="preserve"> politique de cohésion au cœur de l’</w:t>
      </w:r>
      <w:r w:rsidRPr="00D93D8D">
        <w:rPr>
          <w:rFonts w:asciiTheme="minorHAnsi" w:hAnsiTheme="minorHAnsi" w:cs="Arial"/>
          <w:b/>
          <w:u w:val="single"/>
          <w:lang w:val="fr-FR"/>
        </w:rPr>
        <w:t>Europe</w:t>
      </w:r>
    </w:p>
    <w:p w:rsidR="002D5856" w:rsidRPr="00D93D8D" w:rsidRDefault="002D5856" w:rsidP="00DC06B9">
      <w:pPr>
        <w:tabs>
          <w:tab w:val="left" w:pos="284"/>
        </w:tabs>
        <w:spacing w:after="120"/>
        <w:jc w:val="center"/>
        <w:rPr>
          <w:rFonts w:asciiTheme="minorHAnsi" w:hAnsiTheme="minorHAnsi" w:cs="Arial"/>
          <w:b/>
          <w:lang w:val="fr-FR"/>
        </w:rPr>
      </w:pPr>
    </w:p>
    <w:p w:rsidR="00112EEC" w:rsidRPr="00D93D8D" w:rsidRDefault="00FB0725" w:rsidP="00947794">
      <w:pPr>
        <w:tabs>
          <w:tab w:val="left" w:pos="284"/>
        </w:tabs>
        <w:spacing w:after="120"/>
        <w:jc w:val="center"/>
        <w:rPr>
          <w:rFonts w:asciiTheme="minorHAnsi" w:hAnsiTheme="minorHAnsi" w:cs="Arial"/>
          <w:b/>
          <w:lang w:val="fr-FR"/>
        </w:rPr>
      </w:pPr>
      <w:r w:rsidRPr="00D93D8D">
        <w:rPr>
          <w:rFonts w:asciiTheme="minorHAnsi" w:hAnsiTheme="minorHAnsi" w:cs="Arial"/>
          <w:b/>
          <w:lang w:val="fr-FR"/>
        </w:rPr>
        <w:t>Les quatre régions partenaires</w:t>
      </w:r>
    </w:p>
    <w:p w:rsidR="00634A99" w:rsidRPr="00D93D8D" w:rsidRDefault="00FB0725" w:rsidP="00947794">
      <w:pPr>
        <w:tabs>
          <w:tab w:val="left" w:pos="284"/>
        </w:tabs>
        <w:spacing w:after="120"/>
        <w:jc w:val="center"/>
        <w:rPr>
          <w:rFonts w:asciiTheme="minorHAnsi" w:hAnsiTheme="minorHAnsi" w:cs="Arial"/>
          <w:b/>
          <w:lang w:val="fr-FR"/>
        </w:rPr>
      </w:pPr>
      <w:r w:rsidRPr="00D93D8D">
        <w:rPr>
          <w:rFonts w:asciiTheme="minorHAnsi" w:hAnsiTheme="minorHAnsi" w:cs="Arial"/>
          <w:b/>
          <w:lang w:val="fr-FR"/>
        </w:rPr>
        <w:t>Émilie-Romagne</w:t>
      </w:r>
      <w:r w:rsidR="009D3EE8" w:rsidRPr="00D93D8D">
        <w:rPr>
          <w:rFonts w:asciiTheme="minorHAnsi" w:hAnsiTheme="minorHAnsi" w:cs="Arial"/>
          <w:b/>
          <w:lang w:val="fr-FR"/>
        </w:rPr>
        <w:t xml:space="preserve">, </w:t>
      </w:r>
      <w:r w:rsidR="002E2543" w:rsidRPr="00D93D8D">
        <w:rPr>
          <w:rFonts w:asciiTheme="minorHAnsi" w:hAnsiTheme="minorHAnsi" w:cs="Arial"/>
          <w:b/>
          <w:lang w:val="fr-FR"/>
        </w:rPr>
        <w:t xml:space="preserve">Hesse, </w:t>
      </w:r>
      <w:r w:rsidR="001D180D" w:rsidRPr="00D93D8D">
        <w:rPr>
          <w:rFonts w:asciiTheme="minorHAnsi" w:hAnsiTheme="minorHAnsi" w:cs="Arial"/>
          <w:b/>
          <w:lang w:val="fr-FR"/>
        </w:rPr>
        <w:t>Nouvelle-</w:t>
      </w:r>
      <w:r w:rsidR="009D3EE8" w:rsidRPr="00D93D8D">
        <w:rPr>
          <w:rFonts w:asciiTheme="minorHAnsi" w:hAnsiTheme="minorHAnsi" w:cs="Arial"/>
          <w:b/>
          <w:lang w:val="fr-FR"/>
        </w:rPr>
        <w:t>Aquitaine</w:t>
      </w:r>
      <w:r w:rsidR="00794D8F" w:rsidRPr="00D93D8D">
        <w:rPr>
          <w:rFonts w:asciiTheme="minorHAnsi" w:hAnsiTheme="minorHAnsi" w:cs="Arial"/>
          <w:b/>
          <w:lang w:val="fr-FR"/>
        </w:rPr>
        <w:t xml:space="preserve"> </w:t>
      </w:r>
      <w:r w:rsidR="00930306" w:rsidRPr="00D93D8D">
        <w:rPr>
          <w:rFonts w:asciiTheme="minorHAnsi" w:hAnsiTheme="minorHAnsi" w:cs="Arial"/>
          <w:b/>
          <w:lang w:val="fr-FR"/>
        </w:rPr>
        <w:t>et Grande-Pologne</w:t>
      </w:r>
    </w:p>
    <w:p w:rsidR="00DC06B9" w:rsidRPr="00D93D8D" w:rsidRDefault="00DC06B9" w:rsidP="004D009B">
      <w:pPr>
        <w:tabs>
          <w:tab w:val="left" w:pos="284"/>
        </w:tabs>
        <w:spacing w:after="120"/>
        <w:jc w:val="both"/>
        <w:rPr>
          <w:rFonts w:asciiTheme="minorHAnsi" w:hAnsiTheme="minorHAnsi" w:cs="Arial"/>
          <w:b/>
          <w:lang w:val="fr-FR"/>
        </w:rPr>
      </w:pPr>
    </w:p>
    <w:p w:rsidR="00AE0166" w:rsidRPr="00D93D8D" w:rsidRDefault="00C436ED" w:rsidP="00C436ED">
      <w:pPr>
        <w:tabs>
          <w:tab w:val="left" w:pos="284"/>
        </w:tabs>
        <w:spacing w:after="120"/>
        <w:jc w:val="both"/>
        <w:rPr>
          <w:rFonts w:asciiTheme="minorHAnsi" w:hAnsiTheme="minorHAnsi" w:cs="Arial"/>
          <w:lang w:val="fr-FR"/>
        </w:rPr>
      </w:pPr>
      <w:r w:rsidRPr="00D93D8D">
        <w:rPr>
          <w:rFonts w:asciiTheme="minorHAnsi" w:hAnsiTheme="minorHAnsi" w:cs="Arial"/>
          <w:lang w:val="fr-FR"/>
        </w:rPr>
        <w:t>La politique de cohésion </w:t>
      </w:r>
      <w:r w:rsidR="00A3396D" w:rsidRPr="00D93D8D">
        <w:rPr>
          <w:rFonts w:asciiTheme="minorHAnsi" w:hAnsiTheme="minorHAnsi" w:cs="Arial"/>
          <w:lang w:val="fr-FR"/>
        </w:rPr>
        <w:t>(</w:t>
      </w:r>
      <w:r w:rsidRPr="00D93D8D">
        <w:rPr>
          <w:rFonts w:asciiTheme="minorHAnsi" w:hAnsiTheme="minorHAnsi" w:cs="Arial"/>
          <w:lang w:val="fr-FR"/>
        </w:rPr>
        <w:t>PC</w:t>
      </w:r>
      <w:r w:rsidR="00A3396D" w:rsidRPr="00D93D8D">
        <w:rPr>
          <w:rFonts w:asciiTheme="minorHAnsi" w:hAnsiTheme="minorHAnsi" w:cs="Arial"/>
          <w:lang w:val="fr-FR"/>
        </w:rPr>
        <w:t xml:space="preserve">) </w:t>
      </w:r>
      <w:r w:rsidRPr="00D93D8D">
        <w:rPr>
          <w:rFonts w:asciiTheme="minorHAnsi" w:hAnsiTheme="minorHAnsi" w:cs="Arial"/>
          <w:lang w:val="fr-FR"/>
        </w:rPr>
        <w:t xml:space="preserve">est au cœur du projet européen </w:t>
      </w:r>
      <w:r w:rsidR="00634A99" w:rsidRPr="00D93D8D">
        <w:rPr>
          <w:rFonts w:asciiTheme="minorHAnsi" w:hAnsiTheme="minorHAnsi" w:cs="Arial"/>
          <w:lang w:val="fr-FR"/>
        </w:rPr>
        <w:t>bas</w:t>
      </w:r>
      <w:r w:rsidRPr="00D93D8D">
        <w:rPr>
          <w:rFonts w:asciiTheme="minorHAnsi" w:hAnsiTheme="minorHAnsi" w:cs="Arial"/>
          <w:lang w:val="fr-FR"/>
        </w:rPr>
        <w:t>é</w:t>
      </w:r>
      <w:r w:rsidR="00634A99" w:rsidRPr="00D93D8D">
        <w:rPr>
          <w:rFonts w:asciiTheme="minorHAnsi" w:hAnsiTheme="minorHAnsi" w:cs="Arial"/>
          <w:lang w:val="fr-FR"/>
        </w:rPr>
        <w:t xml:space="preserve"> </w:t>
      </w:r>
      <w:r w:rsidRPr="00D93D8D">
        <w:rPr>
          <w:rFonts w:asciiTheme="minorHAnsi" w:hAnsiTheme="minorHAnsi" w:cs="Arial"/>
          <w:lang w:val="fr-FR"/>
        </w:rPr>
        <w:t xml:space="preserve">sur la </w:t>
      </w:r>
      <w:r w:rsidR="00634A99" w:rsidRPr="00D93D8D">
        <w:rPr>
          <w:rFonts w:asciiTheme="minorHAnsi" w:hAnsiTheme="minorHAnsi" w:cs="Arial"/>
          <w:lang w:val="fr-FR"/>
        </w:rPr>
        <w:t>solidarit</w:t>
      </w:r>
      <w:r w:rsidRPr="00D93D8D">
        <w:rPr>
          <w:rFonts w:asciiTheme="minorHAnsi" w:hAnsiTheme="minorHAnsi" w:cs="Arial"/>
          <w:lang w:val="fr-FR"/>
        </w:rPr>
        <w:t>é</w:t>
      </w:r>
      <w:r w:rsidR="00AE0166" w:rsidRPr="00D93D8D">
        <w:rPr>
          <w:rFonts w:asciiTheme="minorHAnsi" w:hAnsiTheme="minorHAnsi" w:cs="Arial"/>
          <w:lang w:val="fr-FR"/>
        </w:rPr>
        <w:t xml:space="preserve">. </w:t>
      </w:r>
      <w:r w:rsidR="00634A99" w:rsidRPr="00D93D8D">
        <w:rPr>
          <w:rFonts w:asciiTheme="minorHAnsi" w:hAnsiTheme="minorHAnsi" w:cs="Arial"/>
          <w:lang w:val="fr-FR"/>
        </w:rPr>
        <w:br/>
      </w:r>
      <w:r w:rsidRPr="00D93D8D">
        <w:rPr>
          <w:rFonts w:asciiTheme="minorHAnsi" w:hAnsiTheme="minorHAnsi" w:cs="Arial"/>
          <w:lang w:val="fr-FR"/>
        </w:rPr>
        <w:t>Elle renforce les liens entre les États</w:t>
      </w:r>
      <w:r w:rsidR="00073C60" w:rsidRPr="00D93D8D">
        <w:rPr>
          <w:rFonts w:asciiTheme="minorHAnsi" w:hAnsiTheme="minorHAnsi" w:cs="Arial"/>
          <w:lang w:val="fr-FR"/>
        </w:rPr>
        <w:t> </w:t>
      </w:r>
      <w:r w:rsidRPr="00D93D8D">
        <w:rPr>
          <w:rFonts w:asciiTheme="minorHAnsi" w:hAnsiTheme="minorHAnsi" w:cs="Arial"/>
          <w:lang w:val="fr-FR"/>
        </w:rPr>
        <w:t>membres</w:t>
      </w:r>
      <w:r w:rsidR="00634A99" w:rsidRPr="00D93D8D">
        <w:rPr>
          <w:rFonts w:asciiTheme="minorHAnsi" w:hAnsiTheme="minorHAnsi" w:cs="Arial"/>
          <w:lang w:val="fr-FR"/>
        </w:rPr>
        <w:t xml:space="preserve"> </w:t>
      </w:r>
      <w:r w:rsidRPr="00D93D8D">
        <w:rPr>
          <w:rFonts w:asciiTheme="minorHAnsi" w:hAnsiTheme="minorHAnsi" w:cs="Arial"/>
          <w:lang w:val="fr-FR"/>
        </w:rPr>
        <w:t>de l’UE grâce</w:t>
      </w:r>
      <w:r w:rsidR="00260AD3" w:rsidRPr="00D93D8D">
        <w:rPr>
          <w:rFonts w:asciiTheme="minorHAnsi" w:hAnsiTheme="minorHAnsi" w:cs="Arial"/>
          <w:lang w:val="fr-FR"/>
        </w:rPr>
        <w:t xml:space="preserve"> </w:t>
      </w:r>
      <w:r w:rsidRPr="00D93D8D">
        <w:rPr>
          <w:rFonts w:asciiTheme="minorHAnsi" w:hAnsiTheme="minorHAnsi" w:cs="Arial"/>
          <w:lang w:val="fr-FR"/>
        </w:rPr>
        <w:t xml:space="preserve">à des investissements régionaux permettant </w:t>
      </w:r>
      <w:r w:rsidR="00753E9C" w:rsidRPr="00D93D8D">
        <w:rPr>
          <w:rFonts w:asciiTheme="minorHAnsi" w:hAnsiTheme="minorHAnsi" w:cs="Arial"/>
          <w:lang w:val="fr-FR"/>
        </w:rPr>
        <w:t>de mettre en prati</w:t>
      </w:r>
      <w:r w:rsidR="00EF4455" w:rsidRPr="00D93D8D">
        <w:rPr>
          <w:rFonts w:asciiTheme="minorHAnsi" w:hAnsiTheme="minorHAnsi" w:cs="Arial"/>
          <w:lang w:val="fr-FR"/>
        </w:rPr>
        <w:t>que</w:t>
      </w:r>
      <w:r w:rsidR="00753E9C" w:rsidRPr="00D93D8D">
        <w:rPr>
          <w:rFonts w:asciiTheme="minorHAnsi" w:hAnsiTheme="minorHAnsi" w:cs="Arial"/>
          <w:lang w:val="fr-FR"/>
        </w:rPr>
        <w:t xml:space="preserve"> </w:t>
      </w:r>
      <w:r w:rsidRPr="00D93D8D">
        <w:rPr>
          <w:rFonts w:asciiTheme="minorHAnsi" w:hAnsiTheme="minorHAnsi" w:cs="Arial"/>
          <w:lang w:val="fr-FR"/>
        </w:rPr>
        <w:t>les principes de subsidiarité</w:t>
      </w:r>
      <w:r w:rsidR="00260AD3" w:rsidRPr="00D93D8D">
        <w:rPr>
          <w:rFonts w:asciiTheme="minorHAnsi" w:hAnsiTheme="minorHAnsi" w:cs="Arial"/>
          <w:lang w:val="fr-FR"/>
        </w:rPr>
        <w:t xml:space="preserve">, </w:t>
      </w:r>
      <w:r w:rsidRPr="00D93D8D">
        <w:rPr>
          <w:rFonts w:asciiTheme="minorHAnsi" w:hAnsiTheme="minorHAnsi" w:cs="Arial"/>
          <w:lang w:val="fr-FR"/>
        </w:rPr>
        <w:t>d’efficacité et de partenariat</w:t>
      </w:r>
      <w:r w:rsidR="00634A99" w:rsidRPr="00D93D8D">
        <w:rPr>
          <w:rFonts w:asciiTheme="minorHAnsi" w:hAnsiTheme="minorHAnsi" w:cs="Arial"/>
          <w:lang w:val="fr-FR"/>
        </w:rPr>
        <w:t xml:space="preserve">. </w:t>
      </w:r>
      <w:r w:rsidRPr="00D93D8D">
        <w:rPr>
          <w:rFonts w:asciiTheme="minorHAnsi" w:hAnsiTheme="minorHAnsi" w:cs="Arial"/>
          <w:lang w:val="fr-FR"/>
        </w:rPr>
        <w:t>Elle promeut la croissance et l’emploi e</w:t>
      </w:r>
      <w:r w:rsidR="009F2C38" w:rsidRPr="00D93D8D">
        <w:rPr>
          <w:rFonts w:asciiTheme="minorHAnsi" w:hAnsiTheme="minorHAnsi" w:cs="Arial"/>
          <w:lang w:val="fr-FR"/>
        </w:rPr>
        <w:t>t</w:t>
      </w:r>
      <w:r w:rsidRPr="00D93D8D">
        <w:rPr>
          <w:rFonts w:asciiTheme="minorHAnsi" w:hAnsiTheme="minorHAnsi" w:cs="Arial"/>
          <w:lang w:val="fr-FR"/>
        </w:rPr>
        <w:t xml:space="preserve"> contribue </w:t>
      </w:r>
      <w:r w:rsidR="009443F8" w:rsidRPr="00D93D8D">
        <w:rPr>
          <w:rFonts w:asciiTheme="minorHAnsi" w:hAnsiTheme="minorHAnsi" w:cs="Arial"/>
          <w:lang w:val="fr-FR"/>
        </w:rPr>
        <w:t>en fin de compte</w:t>
      </w:r>
      <w:r w:rsidRPr="00D93D8D">
        <w:rPr>
          <w:rFonts w:asciiTheme="minorHAnsi" w:hAnsiTheme="minorHAnsi" w:cs="Arial"/>
          <w:lang w:val="fr-FR"/>
        </w:rPr>
        <w:t xml:space="preserve"> à la construction d’une Union européenne</w:t>
      </w:r>
      <w:r w:rsidR="00AE0166" w:rsidRPr="00D93D8D">
        <w:rPr>
          <w:rFonts w:asciiTheme="minorHAnsi" w:hAnsiTheme="minorHAnsi" w:cs="Arial"/>
          <w:lang w:val="fr-FR"/>
        </w:rPr>
        <w:t xml:space="preserve"> </w:t>
      </w:r>
      <w:r w:rsidRPr="00D93D8D">
        <w:rPr>
          <w:rFonts w:asciiTheme="minorHAnsi" w:hAnsiTheme="minorHAnsi" w:cs="Arial"/>
          <w:lang w:val="fr-FR"/>
        </w:rPr>
        <w:t>plus proche de ses citoyens et de leurs besoins</w:t>
      </w:r>
      <w:r w:rsidR="00AE0166" w:rsidRPr="00D93D8D">
        <w:rPr>
          <w:rFonts w:asciiTheme="minorHAnsi" w:hAnsiTheme="minorHAnsi" w:cs="Arial"/>
          <w:lang w:val="fr-FR"/>
        </w:rPr>
        <w:t>.</w:t>
      </w:r>
    </w:p>
    <w:p w:rsidR="0044294F" w:rsidRPr="00D93D8D" w:rsidRDefault="00436549" w:rsidP="00436B66">
      <w:pPr>
        <w:tabs>
          <w:tab w:val="left" w:pos="284"/>
        </w:tabs>
        <w:spacing w:after="120"/>
        <w:jc w:val="both"/>
        <w:rPr>
          <w:rFonts w:asciiTheme="minorHAnsi" w:hAnsiTheme="minorHAnsi" w:cs="Arial"/>
          <w:lang w:val="fr-FR"/>
        </w:rPr>
      </w:pPr>
      <w:r w:rsidRPr="00D93D8D">
        <w:rPr>
          <w:rFonts w:asciiTheme="minorHAnsi" w:hAnsiTheme="minorHAnsi" w:cs="Arial"/>
          <w:lang w:val="fr-FR"/>
        </w:rPr>
        <w:t>Les régions ’Émilie-Romagne, Hesse,  Nouvelle-Aquitaine et Grande-Pologne, qui appartiennent à quatre États</w:t>
      </w:r>
      <w:r w:rsidR="00073C60" w:rsidRPr="00D93D8D">
        <w:rPr>
          <w:rFonts w:asciiTheme="minorHAnsi" w:hAnsiTheme="minorHAnsi" w:cs="Arial"/>
          <w:lang w:val="fr-FR"/>
        </w:rPr>
        <w:t> </w:t>
      </w:r>
      <w:r w:rsidRPr="00D93D8D">
        <w:rPr>
          <w:rFonts w:asciiTheme="minorHAnsi" w:hAnsiTheme="minorHAnsi" w:cs="Arial"/>
          <w:lang w:val="fr-FR"/>
        </w:rPr>
        <w:t xml:space="preserve">membres différents, représentent une population de </w:t>
      </w:r>
      <w:r w:rsidR="00FA5CA1" w:rsidRPr="00D93D8D">
        <w:rPr>
          <w:rFonts w:asciiTheme="minorHAnsi" w:hAnsiTheme="minorHAnsi" w:cs="Arial"/>
          <w:lang w:val="fr-FR"/>
        </w:rPr>
        <w:t>20</w:t>
      </w:r>
      <w:r w:rsidRPr="00D93D8D">
        <w:rPr>
          <w:rFonts w:asciiTheme="minorHAnsi" w:hAnsiTheme="minorHAnsi" w:cs="Arial"/>
          <w:lang w:val="fr-FR"/>
        </w:rPr>
        <w:t> </w:t>
      </w:r>
      <w:r w:rsidR="00FA5CA1" w:rsidRPr="00D93D8D">
        <w:rPr>
          <w:rFonts w:asciiTheme="minorHAnsi" w:hAnsiTheme="minorHAnsi" w:cs="Arial"/>
          <w:lang w:val="fr-FR"/>
        </w:rPr>
        <w:t>million</w:t>
      </w:r>
      <w:r w:rsidRPr="00D93D8D">
        <w:rPr>
          <w:rFonts w:asciiTheme="minorHAnsi" w:hAnsiTheme="minorHAnsi" w:cs="Arial"/>
          <w:lang w:val="fr-FR"/>
        </w:rPr>
        <w:t>s</w:t>
      </w:r>
      <w:r w:rsidR="00FA5CA1" w:rsidRPr="00D93D8D">
        <w:rPr>
          <w:rFonts w:asciiTheme="minorHAnsi" w:hAnsiTheme="minorHAnsi" w:cs="Arial"/>
          <w:lang w:val="fr-FR"/>
        </w:rPr>
        <w:t xml:space="preserve"> </w:t>
      </w:r>
      <w:r w:rsidRPr="00D93D8D">
        <w:rPr>
          <w:rFonts w:asciiTheme="minorHAnsi" w:hAnsiTheme="minorHAnsi" w:cs="Arial"/>
          <w:lang w:val="fr-FR"/>
        </w:rPr>
        <w:t>d’habitant</w:t>
      </w:r>
      <w:r w:rsidR="008C288C" w:rsidRPr="00D93D8D">
        <w:rPr>
          <w:rFonts w:asciiTheme="minorHAnsi" w:hAnsiTheme="minorHAnsi" w:cs="Arial"/>
          <w:lang w:val="fr-FR"/>
        </w:rPr>
        <w:t>s</w:t>
      </w:r>
      <w:r w:rsidR="009772C2">
        <w:rPr>
          <w:rFonts w:asciiTheme="minorHAnsi" w:hAnsiTheme="minorHAnsi" w:cs="Arial"/>
          <w:lang w:val="fr-FR"/>
        </w:rPr>
        <w:t xml:space="preserve">. Elles </w:t>
      </w:r>
      <w:r w:rsidRPr="00D93D8D">
        <w:rPr>
          <w:rFonts w:asciiTheme="minorHAnsi" w:hAnsiTheme="minorHAnsi" w:cs="Arial"/>
          <w:lang w:val="fr-FR"/>
        </w:rPr>
        <w:t>gèrent</w:t>
      </w:r>
      <w:r w:rsidR="005C6A12" w:rsidRPr="00D93D8D">
        <w:rPr>
          <w:rFonts w:asciiTheme="minorHAnsi" w:hAnsiTheme="minorHAnsi" w:cs="Arial"/>
          <w:lang w:val="fr-FR"/>
        </w:rPr>
        <w:t xml:space="preserve"> </w:t>
      </w:r>
      <w:r w:rsidR="00DD2FC4" w:rsidRPr="00D93D8D">
        <w:rPr>
          <w:rFonts w:asciiTheme="minorHAnsi" w:hAnsiTheme="minorHAnsi" w:cs="Arial"/>
          <w:lang w:val="fr-FR"/>
        </w:rPr>
        <w:t>4</w:t>
      </w:r>
      <w:r w:rsidR="00006CC9" w:rsidRPr="00D93D8D">
        <w:rPr>
          <w:rFonts w:asciiTheme="minorHAnsi" w:hAnsiTheme="minorHAnsi" w:cs="Arial"/>
          <w:lang w:val="fr-FR"/>
        </w:rPr>
        <w:t> </w:t>
      </w:r>
      <w:r w:rsidR="008C288C" w:rsidRPr="00D93D8D">
        <w:rPr>
          <w:rFonts w:asciiTheme="minorHAnsi" w:hAnsiTheme="minorHAnsi" w:cs="Arial"/>
          <w:lang w:val="fr-FR"/>
        </w:rPr>
        <w:t>496 millions</w:t>
      </w:r>
      <w:r w:rsidR="00DD2FC4" w:rsidRPr="00D93D8D">
        <w:rPr>
          <w:rFonts w:asciiTheme="minorHAnsi" w:hAnsiTheme="minorHAnsi" w:cs="Arial"/>
          <w:lang w:val="fr-FR"/>
        </w:rPr>
        <w:t xml:space="preserve"> </w:t>
      </w:r>
      <w:r w:rsidRPr="00D93D8D">
        <w:rPr>
          <w:rFonts w:asciiTheme="minorHAnsi" w:hAnsiTheme="minorHAnsi" w:cs="Arial"/>
          <w:lang w:val="fr-FR"/>
        </w:rPr>
        <w:t>d’euros du Fonds européen de développement régional </w:t>
      </w:r>
      <w:r w:rsidR="005C6A12" w:rsidRPr="00D93D8D">
        <w:rPr>
          <w:rFonts w:asciiTheme="minorHAnsi" w:hAnsiTheme="minorHAnsi" w:cs="Arial"/>
          <w:lang w:val="fr-FR"/>
        </w:rPr>
        <w:t>(</w:t>
      </w:r>
      <w:r w:rsidRPr="00D93D8D">
        <w:rPr>
          <w:rFonts w:asciiTheme="minorHAnsi" w:hAnsiTheme="minorHAnsi" w:cs="Arial"/>
          <w:lang w:val="fr-FR"/>
        </w:rPr>
        <w:t>FEDER</w:t>
      </w:r>
      <w:r w:rsidR="005C6A12" w:rsidRPr="00D93D8D">
        <w:rPr>
          <w:rFonts w:asciiTheme="minorHAnsi" w:hAnsiTheme="minorHAnsi" w:cs="Arial"/>
          <w:lang w:val="fr-FR"/>
        </w:rPr>
        <w:t>)</w:t>
      </w:r>
      <w:r w:rsidR="00837B3F" w:rsidRPr="00D93D8D">
        <w:rPr>
          <w:rFonts w:asciiTheme="minorHAnsi" w:hAnsiTheme="minorHAnsi" w:cs="Arial"/>
          <w:lang w:val="fr-FR"/>
        </w:rPr>
        <w:t xml:space="preserve"> </w:t>
      </w:r>
      <w:r w:rsidRPr="00D93D8D">
        <w:rPr>
          <w:rFonts w:asciiTheme="minorHAnsi" w:hAnsiTheme="minorHAnsi" w:cs="Arial"/>
          <w:lang w:val="fr-FR"/>
        </w:rPr>
        <w:t>et du Fonds social européen </w:t>
      </w:r>
      <w:r w:rsidR="005C6A12" w:rsidRPr="00D93D8D">
        <w:rPr>
          <w:rFonts w:asciiTheme="minorHAnsi" w:hAnsiTheme="minorHAnsi" w:cs="Arial"/>
          <w:lang w:val="fr-FR"/>
        </w:rPr>
        <w:t>(</w:t>
      </w:r>
      <w:r w:rsidRPr="00D93D8D">
        <w:rPr>
          <w:rFonts w:asciiTheme="minorHAnsi" w:hAnsiTheme="minorHAnsi" w:cs="Arial"/>
          <w:lang w:val="fr-FR"/>
        </w:rPr>
        <w:t>FSE</w:t>
      </w:r>
      <w:r w:rsidR="005C6A12" w:rsidRPr="00D93D8D">
        <w:rPr>
          <w:rFonts w:asciiTheme="minorHAnsi" w:hAnsiTheme="minorHAnsi" w:cs="Arial"/>
          <w:lang w:val="fr-FR"/>
        </w:rPr>
        <w:t>)</w:t>
      </w:r>
      <w:r w:rsidR="00AE05ED" w:rsidRPr="00D93D8D">
        <w:rPr>
          <w:rFonts w:asciiTheme="minorHAnsi" w:hAnsiTheme="minorHAnsi" w:cs="Arial"/>
          <w:lang w:val="fr-FR"/>
        </w:rPr>
        <w:t xml:space="preserve">. </w:t>
      </w:r>
      <w:r w:rsidR="00436B66" w:rsidRPr="00D93D8D">
        <w:rPr>
          <w:rFonts w:asciiTheme="minorHAnsi" w:hAnsiTheme="minorHAnsi" w:cs="Arial"/>
          <w:lang w:val="fr-FR"/>
        </w:rPr>
        <w:t>Ces régions</w:t>
      </w:r>
      <w:r w:rsidR="00AE05ED" w:rsidRPr="00D93D8D">
        <w:rPr>
          <w:rFonts w:asciiTheme="minorHAnsi" w:hAnsiTheme="minorHAnsi" w:cs="Arial"/>
          <w:lang w:val="fr-FR"/>
        </w:rPr>
        <w:t xml:space="preserve"> </w:t>
      </w:r>
      <w:r w:rsidR="00436B66" w:rsidRPr="00D93D8D">
        <w:rPr>
          <w:rFonts w:asciiTheme="minorHAnsi" w:hAnsiTheme="minorHAnsi" w:cs="Arial"/>
          <w:lang w:val="fr-FR"/>
        </w:rPr>
        <w:t>constituent</w:t>
      </w:r>
      <w:r w:rsidR="00AE05ED" w:rsidRPr="00D93D8D">
        <w:rPr>
          <w:rFonts w:asciiTheme="minorHAnsi" w:hAnsiTheme="minorHAnsi" w:cs="Arial"/>
          <w:lang w:val="fr-FR"/>
        </w:rPr>
        <w:t xml:space="preserve"> </w:t>
      </w:r>
      <w:r w:rsidR="00436B66" w:rsidRPr="00D93D8D">
        <w:rPr>
          <w:rFonts w:asciiTheme="minorHAnsi" w:hAnsiTheme="minorHAnsi" w:cs="Arial"/>
          <w:lang w:val="fr-FR"/>
        </w:rPr>
        <w:t>un échantillon représentatif des</w:t>
      </w:r>
      <w:r w:rsidR="00AE05ED" w:rsidRPr="00D93D8D">
        <w:rPr>
          <w:rFonts w:asciiTheme="minorHAnsi" w:hAnsiTheme="minorHAnsi" w:cs="Arial"/>
          <w:lang w:val="fr-FR"/>
        </w:rPr>
        <w:t xml:space="preserve"> </w:t>
      </w:r>
      <w:r w:rsidR="00436B66" w:rsidRPr="00D93D8D">
        <w:rPr>
          <w:rFonts w:asciiTheme="minorHAnsi" w:hAnsiTheme="minorHAnsi" w:cs="Arial"/>
          <w:lang w:val="fr-FR"/>
        </w:rPr>
        <w:t xml:space="preserve">régions européennes développées et sont un excellent exemple des </w:t>
      </w:r>
      <w:r w:rsidR="002E2543" w:rsidRPr="00D93D8D">
        <w:rPr>
          <w:rFonts w:asciiTheme="minorHAnsi" w:hAnsiTheme="minorHAnsi" w:cs="Arial"/>
          <w:b/>
          <w:lang w:val="fr-FR"/>
        </w:rPr>
        <w:t>effe</w:t>
      </w:r>
      <w:r w:rsidR="00436B66" w:rsidRPr="00D93D8D">
        <w:rPr>
          <w:rFonts w:asciiTheme="minorHAnsi" w:hAnsiTheme="minorHAnsi" w:cs="Arial"/>
          <w:b/>
          <w:lang w:val="fr-FR"/>
        </w:rPr>
        <w:t>ts</w:t>
      </w:r>
      <w:r w:rsidR="002E2543" w:rsidRPr="00D93D8D">
        <w:rPr>
          <w:rFonts w:asciiTheme="minorHAnsi" w:hAnsiTheme="minorHAnsi" w:cs="Arial"/>
          <w:b/>
          <w:lang w:val="fr-FR"/>
        </w:rPr>
        <w:t xml:space="preserve"> </w:t>
      </w:r>
      <w:r w:rsidR="00436B66" w:rsidRPr="00D93D8D">
        <w:rPr>
          <w:rFonts w:asciiTheme="minorHAnsi" w:hAnsiTheme="minorHAnsi" w:cs="Arial"/>
          <w:b/>
          <w:lang w:val="fr-FR"/>
        </w:rPr>
        <w:t xml:space="preserve">positifs </w:t>
      </w:r>
      <w:r w:rsidR="008C288C" w:rsidRPr="00D93D8D">
        <w:rPr>
          <w:rFonts w:asciiTheme="minorHAnsi" w:hAnsiTheme="minorHAnsi" w:cs="Arial"/>
          <w:b/>
          <w:lang w:val="fr-FR"/>
        </w:rPr>
        <w:t>d</w:t>
      </w:r>
      <w:r w:rsidR="00A50D62" w:rsidRPr="00D93D8D">
        <w:rPr>
          <w:rFonts w:asciiTheme="minorHAnsi" w:hAnsiTheme="minorHAnsi" w:cs="Arial"/>
          <w:b/>
          <w:lang w:val="fr-FR"/>
        </w:rPr>
        <w:t>es</w:t>
      </w:r>
      <w:r w:rsidR="00436B66" w:rsidRPr="00D93D8D">
        <w:rPr>
          <w:rFonts w:asciiTheme="minorHAnsi" w:hAnsiTheme="minorHAnsi" w:cs="Arial"/>
          <w:b/>
          <w:lang w:val="fr-FR"/>
        </w:rPr>
        <w:t xml:space="preserve"> fonds </w:t>
      </w:r>
      <w:r w:rsidR="00A768C8">
        <w:rPr>
          <w:rFonts w:asciiTheme="minorHAnsi" w:hAnsiTheme="minorHAnsi" w:cs="Arial"/>
          <w:b/>
          <w:lang w:val="fr-FR"/>
        </w:rPr>
        <w:t xml:space="preserve">européens </w:t>
      </w:r>
      <w:r w:rsidR="002E2543" w:rsidRPr="00D93D8D">
        <w:rPr>
          <w:rFonts w:asciiTheme="minorHAnsi" w:hAnsiTheme="minorHAnsi" w:cs="Arial"/>
          <w:b/>
          <w:lang w:val="fr-FR"/>
        </w:rPr>
        <w:t>structur</w:t>
      </w:r>
      <w:r w:rsidR="00436B66" w:rsidRPr="00D93D8D">
        <w:rPr>
          <w:rFonts w:asciiTheme="minorHAnsi" w:hAnsiTheme="minorHAnsi" w:cs="Arial"/>
          <w:b/>
          <w:lang w:val="fr-FR"/>
        </w:rPr>
        <w:t>el</w:t>
      </w:r>
      <w:r w:rsidR="0093245F" w:rsidRPr="00D93D8D">
        <w:rPr>
          <w:rFonts w:asciiTheme="minorHAnsi" w:hAnsiTheme="minorHAnsi" w:cs="Arial"/>
          <w:b/>
          <w:lang w:val="fr-FR"/>
        </w:rPr>
        <w:t>s</w:t>
      </w:r>
      <w:r w:rsidR="002E2543" w:rsidRPr="00D93D8D">
        <w:rPr>
          <w:rFonts w:asciiTheme="minorHAnsi" w:hAnsiTheme="minorHAnsi" w:cs="Arial"/>
          <w:b/>
          <w:lang w:val="fr-FR"/>
        </w:rPr>
        <w:t xml:space="preserve"> </w:t>
      </w:r>
      <w:r w:rsidR="00A768C8">
        <w:rPr>
          <w:rFonts w:asciiTheme="minorHAnsi" w:hAnsiTheme="minorHAnsi" w:cs="Arial"/>
          <w:b/>
          <w:lang w:val="fr-FR"/>
        </w:rPr>
        <w:t xml:space="preserve">et </w:t>
      </w:r>
      <w:r w:rsidR="00A768C8" w:rsidRPr="00D93D8D">
        <w:rPr>
          <w:rFonts w:asciiTheme="minorHAnsi" w:hAnsiTheme="minorHAnsi" w:cs="Arial"/>
          <w:b/>
          <w:lang w:val="fr-FR"/>
        </w:rPr>
        <w:t xml:space="preserve">d’investissement </w:t>
      </w:r>
      <w:r w:rsidR="00436B66" w:rsidRPr="00D93D8D">
        <w:rPr>
          <w:rFonts w:asciiTheme="minorHAnsi" w:hAnsiTheme="minorHAnsi" w:cs="Arial"/>
          <w:lang w:val="fr-FR"/>
        </w:rPr>
        <w:t xml:space="preserve">et des avantages </w:t>
      </w:r>
      <w:r w:rsidR="00AD317C" w:rsidRPr="00D93D8D">
        <w:rPr>
          <w:rFonts w:asciiTheme="minorHAnsi" w:hAnsiTheme="minorHAnsi" w:cs="Arial"/>
          <w:lang w:val="fr-FR"/>
        </w:rPr>
        <w:t>du développement régional de la PC</w:t>
      </w:r>
      <w:r w:rsidR="002E2543" w:rsidRPr="00D93D8D">
        <w:rPr>
          <w:rFonts w:asciiTheme="minorHAnsi" w:hAnsiTheme="minorHAnsi" w:cs="Arial"/>
          <w:lang w:val="fr-FR"/>
        </w:rPr>
        <w:t xml:space="preserve">. </w:t>
      </w:r>
    </w:p>
    <w:p w:rsidR="002E2543" w:rsidRPr="00D93D8D" w:rsidRDefault="00667E41" w:rsidP="004D009B">
      <w:pPr>
        <w:tabs>
          <w:tab w:val="left" w:pos="284"/>
        </w:tabs>
        <w:spacing w:after="120"/>
        <w:jc w:val="both"/>
        <w:rPr>
          <w:rFonts w:asciiTheme="minorHAnsi" w:hAnsiTheme="minorHAnsi" w:cs="Arial"/>
          <w:lang w:val="fr-FR"/>
        </w:rPr>
      </w:pPr>
      <w:r w:rsidRPr="00D93D8D">
        <w:rPr>
          <w:rFonts w:asciiTheme="minorHAnsi" w:hAnsiTheme="minorHAnsi" w:cs="Arial"/>
          <w:lang w:val="fr-FR"/>
        </w:rPr>
        <w:t xml:space="preserve">Entre </w:t>
      </w:r>
      <w:r w:rsidR="002545FE" w:rsidRPr="00D93D8D">
        <w:rPr>
          <w:rFonts w:asciiTheme="minorHAnsi" w:hAnsiTheme="minorHAnsi" w:cs="Arial"/>
          <w:lang w:val="fr-FR"/>
        </w:rPr>
        <w:t xml:space="preserve">le </w:t>
      </w:r>
      <w:r w:rsidRPr="00D93D8D">
        <w:rPr>
          <w:rFonts w:asciiTheme="minorHAnsi" w:hAnsiTheme="minorHAnsi" w:cs="Arial"/>
          <w:lang w:val="fr-FR"/>
        </w:rPr>
        <w:t xml:space="preserve">Brexit, </w:t>
      </w:r>
      <w:r w:rsidR="002545FE" w:rsidRPr="00D93D8D">
        <w:rPr>
          <w:rFonts w:asciiTheme="minorHAnsi" w:hAnsiTheme="minorHAnsi" w:cs="Arial"/>
          <w:lang w:val="fr-FR"/>
        </w:rPr>
        <w:t xml:space="preserve">les </w:t>
      </w:r>
      <w:r w:rsidRPr="00D93D8D">
        <w:rPr>
          <w:rFonts w:asciiTheme="minorHAnsi" w:hAnsiTheme="minorHAnsi" w:cs="Arial"/>
          <w:lang w:val="fr-FR"/>
        </w:rPr>
        <w:t>flux important</w:t>
      </w:r>
      <w:r w:rsidR="002545FE" w:rsidRPr="00D93D8D">
        <w:rPr>
          <w:rFonts w:asciiTheme="minorHAnsi" w:hAnsiTheme="minorHAnsi" w:cs="Arial"/>
          <w:lang w:val="fr-FR"/>
        </w:rPr>
        <w:t>s</w:t>
      </w:r>
      <w:r w:rsidRPr="00D93D8D">
        <w:rPr>
          <w:rFonts w:asciiTheme="minorHAnsi" w:hAnsiTheme="minorHAnsi" w:cs="Arial"/>
          <w:lang w:val="fr-FR"/>
        </w:rPr>
        <w:t xml:space="preserve"> de réfugiés et de migrants et </w:t>
      </w:r>
      <w:r w:rsidR="002545FE" w:rsidRPr="00D93D8D">
        <w:rPr>
          <w:rFonts w:asciiTheme="minorHAnsi" w:hAnsiTheme="minorHAnsi" w:cs="Arial"/>
          <w:lang w:val="fr-FR"/>
        </w:rPr>
        <w:t xml:space="preserve">les </w:t>
      </w:r>
      <w:r w:rsidRPr="00D93D8D">
        <w:rPr>
          <w:rFonts w:asciiTheme="minorHAnsi" w:hAnsiTheme="minorHAnsi" w:cs="Arial"/>
          <w:lang w:val="fr-FR"/>
        </w:rPr>
        <w:t>menaces internationales, l</w:t>
      </w:r>
      <w:r w:rsidR="00616610" w:rsidRPr="00D93D8D">
        <w:rPr>
          <w:rFonts w:asciiTheme="minorHAnsi" w:hAnsiTheme="minorHAnsi" w:cs="Arial"/>
          <w:lang w:val="fr-FR"/>
        </w:rPr>
        <w:t>’UE traverse actuellement une période complexe</w:t>
      </w:r>
      <w:r w:rsidR="002E2543" w:rsidRPr="00D93D8D">
        <w:rPr>
          <w:rFonts w:asciiTheme="minorHAnsi" w:hAnsiTheme="minorHAnsi" w:cs="Arial"/>
          <w:lang w:val="fr-FR"/>
        </w:rPr>
        <w:t xml:space="preserve">. </w:t>
      </w:r>
      <w:r w:rsidR="00616610" w:rsidRPr="00D93D8D">
        <w:rPr>
          <w:rFonts w:asciiTheme="minorHAnsi" w:hAnsiTheme="minorHAnsi" w:cs="Arial"/>
          <w:lang w:val="fr-FR"/>
        </w:rPr>
        <w:t>De même</w:t>
      </w:r>
      <w:r w:rsidR="002E2543" w:rsidRPr="00D93D8D">
        <w:rPr>
          <w:rFonts w:asciiTheme="minorHAnsi" w:hAnsiTheme="minorHAnsi" w:cs="Arial"/>
          <w:lang w:val="fr-FR"/>
        </w:rPr>
        <w:t xml:space="preserve">, </w:t>
      </w:r>
      <w:r w:rsidR="00616610" w:rsidRPr="00D93D8D">
        <w:rPr>
          <w:rFonts w:asciiTheme="minorHAnsi" w:hAnsiTheme="minorHAnsi" w:cs="Arial"/>
          <w:lang w:val="fr-FR"/>
        </w:rPr>
        <w:t>les problèmes liés au chômage, aux évolutions démographiques, à la compétitivité</w:t>
      </w:r>
      <w:r w:rsidR="002E2543" w:rsidRPr="00D93D8D">
        <w:rPr>
          <w:rFonts w:asciiTheme="minorHAnsi" w:hAnsiTheme="minorHAnsi" w:cs="Arial"/>
          <w:lang w:val="fr-FR"/>
        </w:rPr>
        <w:t xml:space="preserve">, </w:t>
      </w:r>
      <w:r w:rsidR="00616610" w:rsidRPr="00D93D8D">
        <w:rPr>
          <w:rFonts w:asciiTheme="minorHAnsi" w:hAnsiTheme="minorHAnsi" w:cs="Arial"/>
          <w:lang w:val="fr-FR"/>
        </w:rPr>
        <w:t>au passage au numérique, aux nouvelles</w:t>
      </w:r>
      <w:r w:rsidR="005C6A12" w:rsidRPr="00D93D8D">
        <w:rPr>
          <w:rFonts w:asciiTheme="minorHAnsi" w:hAnsiTheme="minorHAnsi" w:cs="Arial"/>
          <w:lang w:val="fr-FR"/>
        </w:rPr>
        <w:t xml:space="preserve"> </w:t>
      </w:r>
      <w:r w:rsidR="002E2543" w:rsidRPr="00D93D8D">
        <w:rPr>
          <w:rFonts w:asciiTheme="minorHAnsi" w:hAnsiTheme="minorHAnsi" w:cs="Arial"/>
          <w:lang w:val="fr-FR"/>
        </w:rPr>
        <w:t>technologies</w:t>
      </w:r>
      <w:r w:rsidR="005C6A12" w:rsidRPr="00D93D8D">
        <w:rPr>
          <w:rFonts w:asciiTheme="minorHAnsi" w:hAnsiTheme="minorHAnsi" w:cs="Arial"/>
          <w:lang w:val="fr-FR"/>
        </w:rPr>
        <w:t xml:space="preserve">, </w:t>
      </w:r>
      <w:r w:rsidR="00616610" w:rsidRPr="00D93D8D">
        <w:rPr>
          <w:rFonts w:asciiTheme="minorHAnsi" w:hAnsiTheme="minorHAnsi" w:cs="Arial"/>
          <w:lang w:val="fr-FR"/>
        </w:rPr>
        <w:t xml:space="preserve">au changement climatique et à la </w:t>
      </w:r>
      <w:r w:rsidR="00DD2FC4" w:rsidRPr="00D93D8D">
        <w:rPr>
          <w:rFonts w:asciiTheme="minorHAnsi" w:hAnsiTheme="minorHAnsi" w:cs="Arial"/>
          <w:lang w:val="fr-FR"/>
        </w:rPr>
        <w:t>biodiversit</w:t>
      </w:r>
      <w:r w:rsidR="00616610" w:rsidRPr="00D93D8D">
        <w:rPr>
          <w:rFonts w:asciiTheme="minorHAnsi" w:hAnsiTheme="minorHAnsi" w:cs="Arial"/>
          <w:lang w:val="fr-FR"/>
        </w:rPr>
        <w:t>é</w:t>
      </w:r>
      <w:r w:rsidR="00710701" w:rsidRPr="00D93D8D">
        <w:rPr>
          <w:rFonts w:asciiTheme="minorHAnsi" w:hAnsiTheme="minorHAnsi" w:cs="Arial"/>
          <w:lang w:val="fr-FR"/>
        </w:rPr>
        <w:t xml:space="preserve"> </w:t>
      </w:r>
      <w:r w:rsidR="00616610" w:rsidRPr="00D93D8D">
        <w:rPr>
          <w:rFonts w:asciiTheme="minorHAnsi" w:hAnsiTheme="minorHAnsi" w:cs="Arial"/>
          <w:lang w:val="fr-FR"/>
        </w:rPr>
        <w:t>persistent</w:t>
      </w:r>
      <w:r w:rsidR="00FA5CA1" w:rsidRPr="00D93D8D">
        <w:rPr>
          <w:rFonts w:asciiTheme="minorHAnsi" w:hAnsiTheme="minorHAnsi" w:cs="Arial"/>
          <w:lang w:val="fr-FR"/>
        </w:rPr>
        <w:t>.</w:t>
      </w:r>
      <w:r w:rsidR="002E2543" w:rsidRPr="00D93D8D">
        <w:rPr>
          <w:rFonts w:asciiTheme="minorHAnsi" w:hAnsiTheme="minorHAnsi" w:cs="Arial"/>
          <w:lang w:val="fr-FR"/>
        </w:rPr>
        <w:t xml:space="preserve"> </w:t>
      </w:r>
      <w:r w:rsidR="00616610" w:rsidRPr="00D93D8D">
        <w:rPr>
          <w:rFonts w:asciiTheme="minorHAnsi" w:hAnsiTheme="minorHAnsi" w:cs="Arial"/>
          <w:b/>
          <w:lang w:val="fr-FR"/>
        </w:rPr>
        <w:t xml:space="preserve">Les régions ont un </w:t>
      </w:r>
      <w:r w:rsidR="00710701" w:rsidRPr="00D93D8D">
        <w:rPr>
          <w:rFonts w:asciiTheme="minorHAnsi" w:hAnsiTheme="minorHAnsi" w:cs="Arial"/>
          <w:b/>
          <w:lang w:val="fr-FR"/>
        </w:rPr>
        <w:t>r</w:t>
      </w:r>
      <w:r w:rsidR="00616610" w:rsidRPr="00D93D8D">
        <w:rPr>
          <w:rFonts w:asciiTheme="minorHAnsi" w:hAnsiTheme="minorHAnsi" w:cs="Arial"/>
          <w:b/>
          <w:lang w:val="fr-FR"/>
        </w:rPr>
        <w:t>ô</w:t>
      </w:r>
      <w:r w:rsidR="00710701" w:rsidRPr="00D93D8D">
        <w:rPr>
          <w:rFonts w:asciiTheme="minorHAnsi" w:hAnsiTheme="minorHAnsi" w:cs="Arial"/>
          <w:b/>
          <w:lang w:val="fr-FR"/>
        </w:rPr>
        <w:t xml:space="preserve">le </w:t>
      </w:r>
      <w:r w:rsidR="00616610" w:rsidRPr="00D93D8D">
        <w:rPr>
          <w:rFonts w:asciiTheme="minorHAnsi" w:hAnsiTheme="minorHAnsi" w:cs="Arial"/>
          <w:b/>
          <w:lang w:val="fr-FR"/>
        </w:rPr>
        <w:t>stratégique</w:t>
      </w:r>
      <w:r w:rsidR="00710701" w:rsidRPr="00D93D8D">
        <w:rPr>
          <w:rFonts w:asciiTheme="minorHAnsi" w:hAnsiTheme="minorHAnsi" w:cs="Arial"/>
          <w:b/>
          <w:lang w:val="fr-FR"/>
        </w:rPr>
        <w:t xml:space="preserve"> </w:t>
      </w:r>
      <w:r w:rsidR="00616610" w:rsidRPr="00D93D8D">
        <w:rPr>
          <w:rFonts w:asciiTheme="minorHAnsi" w:hAnsiTheme="minorHAnsi" w:cs="Arial"/>
          <w:b/>
          <w:lang w:val="fr-FR"/>
        </w:rPr>
        <w:t>à jouer</w:t>
      </w:r>
      <w:r w:rsidR="00947794" w:rsidRPr="00D93D8D">
        <w:rPr>
          <w:rFonts w:asciiTheme="minorHAnsi" w:hAnsiTheme="minorHAnsi" w:cs="Arial"/>
          <w:b/>
          <w:lang w:val="fr-FR"/>
        </w:rPr>
        <w:t xml:space="preserve"> </w:t>
      </w:r>
      <w:r w:rsidR="00616610" w:rsidRPr="00D93D8D">
        <w:rPr>
          <w:rFonts w:asciiTheme="minorHAnsi" w:hAnsiTheme="minorHAnsi" w:cs="Arial"/>
          <w:lang w:val="fr-FR"/>
        </w:rPr>
        <w:t>face à ces défis</w:t>
      </w:r>
      <w:r w:rsidR="00E97FDA" w:rsidRPr="00D93D8D">
        <w:rPr>
          <w:rFonts w:asciiTheme="minorHAnsi" w:hAnsiTheme="minorHAnsi" w:cs="Arial"/>
          <w:lang w:val="fr-FR"/>
        </w:rPr>
        <w:t>,</w:t>
      </w:r>
      <w:r w:rsidR="00616610" w:rsidRPr="00D93D8D">
        <w:rPr>
          <w:rFonts w:asciiTheme="minorHAnsi" w:hAnsiTheme="minorHAnsi" w:cs="Arial"/>
          <w:lang w:val="fr-FR"/>
        </w:rPr>
        <w:t xml:space="preserve"> en réaffirmant l’</w:t>
      </w:r>
      <w:r w:rsidR="00FA5CA1" w:rsidRPr="00D93D8D">
        <w:rPr>
          <w:rFonts w:asciiTheme="minorHAnsi" w:hAnsiTheme="minorHAnsi" w:cs="Arial"/>
          <w:lang w:val="fr-FR"/>
        </w:rPr>
        <w:t xml:space="preserve">importance </w:t>
      </w:r>
      <w:r w:rsidR="00616610" w:rsidRPr="00D93D8D">
        <w:rPr>
          <w:rFonts w:asciiTheme="minorHAnsi" w:hAnsiTheme="minorHAnsi" w:cs="Arial"/>
          <w:lang w:val="fr-FR"/>
        </w:rPr>
        <w:t>de la gouvernance à plusieurs niveaux</w:t>
      </w:r>
      <w:r w:rsidR="00FA5CA1" w:rsidRPr="00D93D8D">
        <w:rPr>
          <w:rFonts w:asciiTheme="minorHAnsi" w:hAnsiTheme="minorHAnsi" w:cs="Arial"/>
          <w:lang w:val="fr-FR"/>
        </w:rPr>
        <w:t xml:space="preserve"> </w:t>
      </w:r>
      <w:r w:rsidR="00887983" w:rsidRPr="00D93D8D">
        <w:rPr>
          <w:rFonts w:asciiTheme="minorHAnsi" w:hAnsiTheme="minorHAnsi" w:cs="Arial"/>
          <w:lang w:val="fr-FR"/>
        </w:rPr>
        <w:t>et</w:t>
      </w:r>
      <w:r w:rsidR="00FA5CA1" w:rsidRPr="00D93D8D">
        <w:rPr>
          <w:rFonts w:asciiTheme="minorHAnsi" w:hAnsiTheme="minorHAnsi" w:cs="Arial"/>
          <w:lang w:val="fr-FR"/>
        </w:rPr>
        <w:t xml:space="preserve"> </w:t>
      </w:r>
      <w:r w:rsidR="00887983" w:rsidRPr="00D93D8D">
        <w:rPr>
          <w:rFonts w:asciiTheme="minorHAnsi" w:hAnsiTheme="minorHAnsi" w:cs="Arial"/>
          <w:lang w:val="fr-FR"/>
        </w:rPr>
        <w:t>d</w:t>
      </w:r>
      <w:r w:rsidR="00B00801" w:rsidRPr="00D93D8D">
        <w:rPr>
          <w:rFonts w:asciiTheme="minorHAnsi" w:hAnsiTheme="minorHAnsi" w:cs="Arial"/>
          <w:lang w:val="fr-FR"/>
        </w:rPr>
        <w:t>u principe de</w:t>
      </w:r>
      <w:r w:rsidR="00887983" w:rsidRPr="00D93D8D">
        <w:rPr>
          <w:rFonts w:asciiTheme="minorHAnsi" w:hAnsiTheme="minorHAnsi" w:cs="Arial"/>
          <w:lang w:val="fr-FR"/>
        </w:rPr>
        <w:t xml:space="preserve"> subsidiarité, et en </w:t>
      </w:r>
      <w:r w:rsidR="006D6A90" w:rsidRPr="00D93D8D">
        <w:rPr>
          <w:rFonts w:asciiTheme="minorHAnsi" w:hAnsiTheme="minorHAnsi" w:cs="Arial"/>
          <w:lang w:val="fr-FR"/>
        </w:rPr>
        <w:t>mettant l’accent</w:t>
      </w:r>
      <w:r w:rsidR="00887983" w:rsidRPr="00D93D8D">
        <w:rPr>
          <w:rFonts w:asciiTheme="minorHAnsi" w:hAnsiTheme="minorHAnsi" w:cs="Arial"/>
          <w:lang w:val="fr-FR"/>
        </w:rPr>
        <w:t xml:space="preserve"> sur </w:t>
      </w:r>
      <w:r w:rsidR="00DC2944" w:rsidRPr="00D93D8D">
        <w:rPr>
          <w:rFonts w:asciiTheme="minorHAnsi" w:hAnsiTheme="minorHAnsi" w:cs="Arial"/>
          <w:lang w:val="fr-FR"/>
        </w:rPr>
        <w:t>l</w:t>
      </w:r>
      <w:r w:rsidR="00887983" w:rsidRPr="00D93D8D">
        <w:rPr>
          <w:rFonts w:asciiTheme="minorHAnsi" w:hAnsiTheme="minorHAnsi" w:cs="Arial"/>
          <w:lang w:val="fr-FR"/>
        </w:rPr>
        <w:t xml:space="preserve">es projets </w:t>
      </w:r>
      <w:r w:rsidR="00655865" w:rsidRPr="00D93D8D">
        <w:rPr>
          <w:rFonts w:asciiTheme="minorHAnsi" w:hAnsiTheme="minorHAnsi" w:cs="Arial"/>
          <w:lang w:val="fr-FR"/>
        </w:rPr>
        <w:t>porteurs de</w:t>
      </w:r>
      <w:r w:rsidR="00887983" w:rsidRPr="00D93D8D">
        <w:rPr>
          <w:rFonts w:asciiTheme="minorHAnsi" w:hAnsiTheme="minorHAnsi" w:cs="Arial"/>
          <w:lang w:val="fr-FR"/>
        </w:rPr>
        <w:t xml:space="preserve"> valeur ajoutée européenne</w:t>
      </w:r>
      <w:r w:rsidR="00710701" w:rsidRPr="00D93D8D">
        <w:rPr>
          <w:rFonts w:asciiTheme="minorHAnsi" w:hAnsiTheme="minorHAnsi" w:cs="Arial"/>
          <w:lang w:val="fr-FR"/>
        </w:rPr>
        <w:t>.</w:t>
      </w:r>
    </w:p>
    <w:p w:rsidR="00047B41" w:rsidRPr="00D93D8D" w:rsidRDefault="00F418A6" w:rsidP="004D009B">
      <w:pPr>
        <w:tabs>
          <w:tab w:val="left" w:pos="284"/>
        </w:tabs>
        <w:spacing w:after="120"/>
        <w:jc w:val="both"/>
        <w:rPr>
          <w:rFonts w:asciiTheme="minorHAnsi" w:hAnsiTheme="minorHAnsi" w:cs="Arial"/>
          <w:lang w:val="fr-FR"/>
        </w:rPr>
      </w:pPr>
      <w:r w:rsidRPr="00D93D8D">
        <w:rPr>
          <w:rFonts w:asciiTheme="minorHAnsi" w:hAnsiTheme="minorHAnsi" w:cs="Arial"/>
          <w:lang w:val="fr-FR"/>
        </w:rPr>
        <w:t>Par conséquent</w:t>
      </w:r>
      <w:r w:rsidR="00047B41" w:rsidRPr="00D93D8D">
        <w:rPr>
          <w:rFonts w:asciiTheme="minorHAnsi" w:hAnsiTheme="minorHAnsi" w:cs="Arial"/>
          <w:lang w:val="fr-FR"/>
        </w:rPr>
        <w:t xml:space="preserve">, </w:t>
      </w:r>
      <w:r w:rsidR="00DE6E4D" w:rsidRPr="00D93D8D">
        <w:rPr>
          <w:rFonts w:asciiTheme="minorHAnsi" w:hAnsiTheme="minorHAnsi" w:cs="Arial"/>
          <w:lang w:val="fr-FR"/>
        </w:rPr>
        <w:t>les quatre</w:t>
      </w:r>
      <w:r w:rsidR="00047B41" w:rsidRPr="00D93D8D">
        <w:rPr>
          <w:rFonts w:asciiTheme="minorHAnsi" w:hAnsiTheme="minorHAnsi" w:cs="Arial"/>
          <w:lang w:val="fr-FR"/>
        </w:rPr>
        <w:t xml:space="preserve"> </w:t>
      </w:r>
      <w:r w:rsidR="00DE6E4D" w:rsidRPr="00D93D8D">
        <w:rPr>
          <w:rFonts w:asciiTheme="minorHAnsi" w:hAnsiTheme="minorHAnsi" w:cs="Arial"/>
          <w:lang w:val="fr-FR"/>
        </w:rPr>
        <w:t xml:space="preserve">régions servent de catalyseur pour </w:t>
      </w:r>
      <w:r w:rsidR="008073B2" w:rsidRPr="00D93D8D">
        <w:rPr>
          <w:rFonts w:asciiTheme="minorHAnsi" w:hAnsiTheme="minorHAnsi" w:cs="Arial"/>
          <w:lang w:val="fr-FR"/>
        </w:rPr>
        <w:t>consolider</w:t>
      </w:r>
      <w:r w:rsidR="00DE6E4D" w:rsidRPr="00D93D8D">
        <w:rPr>
          <w:rFonts w:asciiTheme="minorHAnsi" w:hAnsiTheme="minorHAnsi" w:cs="Arial"/>
          <w:lang w:val="fr-FR"/>
        </w:rPr>
        <w:t xml:space="preserve"> les réussites de la PC </w:t>
      </w:r>
      <w:r w:rsidR="00FE4EF8" w:rsidRPr="00D93D8D">
        <w:rPr>
          <w:rFonts w:asciiTheme="minorHAnsi" w:hAnsiTheme="minorHAnsi" w:cs="Arial"/>
          <w:lang w:val="fr-FR"/>
        </w:rPr>
        <w:t>e</w:t>
      </w:r>
      <w:r w:rsidR="00EF4455" w:rsidRPr="00D93D8D">
        <w:rPr>
          <w:rFonts w:asciiTheme="minorHAnsi" w:hAnsiTheme="minorHAnsi" w:cs="Arial"/>
          <w:lang w:val="fr-FR"/>
        </w:rPr>
        <w:t xml:space="preserve">t </w:t>
      </w:r>
      <w:r w:rsidR="00DE6E4D" w:rsidRPr="00D93D8D">
        <w:rPr>
          <w:rFonts w:asciiTheme="minorHAnsi" w:hAnsiTheme="minorHAnsi" w:cs="Arial"/>
          <w:lang w:val="fr-FR"/>
        </w:rPr>
        <w:t>aspir</w:t>
      </w:r>
      <w:r w:rsidR="00EF4455" w:rsidRPr="00D93D8D">
        <w:rPr>
          <w:rFonts w:asciiTheme="minorHAnsi" w:hAnsiTheme="minorHAnsi" w:cs="Arial"/>
          <w:lang w:val="fr-FR"/>
        </w:rPr>
        <w:t>e</w:t>
      </w:r>
      <w:r w:rsidR="00FE4EF8" w:rsidRPr="00D93D8D">
        <w:rPr>
          <w:rFonts w:asciiTheme="minorHAnsi" w:hAnsiTheme="minorHAnsi" w:cs="Arial"/>
          <w:lang w:val="fr-FR"/>
        </w:rPr>
        <w:t>nt</w:t>
      </w:r>
      <w:r w:rsidR="00DE6E4D" w:rsidRPr="00D93D8D">
        <w:rPr>
          <w:rFonts w:asciiTheme="minorHAnsi" w:hAnsiTheme="minorHAnsi" w:cs="Arial"/>
          <w:lang w:val="fr-FR"/>
        </w:rPr>
        <w:t xml:space="preserve"> à </w:t>
      </w:r>
      <w:r w:rsidR="005B553B" w:rsidRPr="00D93D8D">
        <w:rPr>
          <w:rFonts w:asciiTheme="minorHAnsi" w:hAnsiTheme="minorHAnsi" w:cs="Arial"/>
          <w:lang w:val="fr-FR"/>
        </w:rPr>
        <w:t>:</w:t>
      </w:r>
    </w:p>
    <w:p w:rsidR="00BF4B57" w:rsidRPr="00D93D8D" w:rsidRDefault="00047B41" w:rsidP="00947794">
      <w:pPr>
        <w:pStyle w:val="Paragraphedeliste"/>
        <w:numPr>
          <w:ilvl w:val="0"/>
          <w:numId w:val="11"/>
        </w:numPr>
        <w:tabs>
          <w:tab w:val="left" w:pos="284"/>
        </w:tabs>
        <w:spacing w:after="120"/>
        <w:jc w:val="both"/>
        <w:rPr>
          <w:rFonts w:asciiTheme="minorHAnsi" w:hAnsiTheme="minorHAnsi" w:cs="Arial"/>
          <w:b/>
          <w:lang w:val="fr-FR"/>
        </w:rPr>
      </w:pPr>
      <w:r w:rsidRPr="00D93D8D">
        <w:rPr>
          <w:rFonts w:asciiTheme="minorHAnsi" w:hAnsiTheme="minorHAnsi" w:cs="Arial"/>
          <w:lang w:val="fr-FR"/>
        </w:rPr>
        <w:t>contribu</w:t>
      </w:r>
      <w:r w:rsidR="00DE6E4D" w:rsidRPr="00D93D8D">
        <w:rPr>
          <w:rFonts w:asciiTheme="minorHAnsi" w:hAnsiTheme="minorHAnsi" w:cs="Arial"/>
          <w:lang w:val="fr-FR"/>
        </w:rPr>
        <w:t>er</w:t>
      </w:r>
      <w:r w:rsidRPr="00D93D8D">
        <w:rPr>
          <w:rFonts w:asciiTheme="minorHAnsi" w:hAnsiTheme="minorHAnsi" w:cs="Arial"/>
          <w:lang w:val="fr-FR"/>
        </w:rPr>
        <w:t xml:space="preserve"> </w:t>
      </w:r>
      <w:r w:rsidR="00DE6E4D" w:rsidRPr="00D93D8D">
        <w:rPr>
          <w:rFonts w:asciiTheme="minorHAnsi" w:hAnsiTheme="minorHAnsi" w:cs="Arial"/>
          <w:lang w:val="fr-FR"/>
        </w:rPr>
        <w:t>au débat sur le futur de l’</w:t>
      </w:r>
      <w:r w:rsidRPr="00D93D8D">
        <w:rPr>
          <w:rFonts w:asciiTheme="minorHAnsi" w:hAnsiTheme="minorHAnsi" w:cs="Arial"/>
          <w:lang w:val="fr-FR"/>
        </w:rPr>
        <w:t>Europe</w:t>
      </w:r>
      <w:r w:rsidR="00DE6E4D" w:rsidRPr="00D93D8D">
        <w:rPr>
          <w:rFonts w:asciiTheme="minorHAnsi" w:hAnsiTheme="minorHAnsi" w:cs="Arial"/>
          <w:lang w:val="fr-FR"/>
        </w:rPr>
        <w:t>,</w:t>
      </w:r>
      <w:r w:rsidRPr="00D93D8D">
        <w:rPr>
          <w:rFonts w:asciiTheme="minorHAnsi" w:hAnsiTheme="minorHAnsi" w:cs="Arial"/>
          <w:lang w:val="fr-FR"/>
        </w:rPr>
        <w:t xml:space="preserve"> </w:t>
      </w:r>
      <w:r w:rsidR="00DE6E4D" w:rsidRPr="00D93D8D">
        <w:rPr>
          <w:rFonts w:asciiTheme="minorHAnsi" w:hAnsiTheme="minorHAnsi" w:cs="Arial"/>
          <w:lang w:val="fr-FR"/>
        </w:rPr>
        <w:t xml:space="preserve">lancé par le </w:t>
      </w:r>
      <w:r w:rsidR="009772C2">
        <w:rPr>
          <w:rFonts w:asciiTheme="minorHAnsi" w:hAnsiTheme="minorHAnsi" w:cs="Arial"/>
          <w:lang w:val="fr-FR"/>
        </w:rPr>
        <w:t>L</w:t>
      </w:r>
      <w:r w:rsidR="00DE6E4D" w:rsidRPr="00D93D8D">
        <w:rPr>
          <w:rFonts w:asciiTheme="minorHAnsi" w:hAnsiTheme="minorHAnsi" w:cs="Arial"/>
          <w:lang w:val="fr-FR"/>
        </w:rPr>
        <w:t>ivre blanc de Jean-Claude</w:t>
      </w:r>
      <w:r w:rsidR="00832ADB" w:rsidRPr="00D93D8D">
        <w:rPr>
          <w:rFonts w:asciiTheme="minorHAnsi" w:hAnsiTheme="minorHAnsi" w:cs="Arial"/>
          <w:lang w:val="fr-FR"/>
        </w:rPr>
        <w:t> </w:t>
      </w:r>
      <w:r w:rsidR="00DE6E4D" w:rsidRPr="00D93D8D">
        <w:rPr>
          <w:rFonts w:asciiTheme="minorHAnsi" w:hAnsiTheme="minorHAnsi" w:cs="Arial"/>
          <w:lang w:val="fr-FR"/>
        </w:rPr>
        <w:t xml:space="preserve">Juncker, président de la Commission </w:t>
      </w:r>
      <w:r w:rsidR="00550119" w:rsidRPr="00D93D8D">
        <w:rPr>
          <w:rFonts w:asciiTheme="minorHAnsi" w:hAnsiTheme="minorHAnsi" w:cs="Arial"/>
          <w:lang w:val="fr-FR"/>
        </w:rPr>
        <w:t>e</w:t>
      </w:r>
      <w:r w:rsidR="00DE6E4D" w:rsidRPr="00D93D8D">
        <w:rPr>
          <w:rFonts w:asciiTheme="minorHAnsi" w:hAnsiTheme="minorHAnsi" w:cs="Arial"/>
          <w:lang w:val="fr-FR"/>
        </w:rPr>
        <w:t>uropéenne,</w:t>
      </w:r>
      <w:r w:rsidRPr="00D93D8D">
        <w:rPr>
          <w:rFonts w:asciiTheme="minorHAnsi" w:hAnsiTheme="minorHAnsi" w:cs="Arial"/>
          <w:lang w:val="fr-FR"/>
        </w:rPr>
        <w:t xml:space="preserve"> </w:t>
      </w:r>
      <w:r w:rsidR="00DE6E4D" w:rsidRPr="00D93D8D">
        <w:rPr>
          <w:rFonts w:asciiTheme="minorHAnsi" w:hAnsiTheme="minorHAnsi" w:cs="Arial"/>
          <w:lang w:val="fr-FR"/>
        </w:rPr>
        <w:t xml:space="preserve">et par les </w:t>
      </w:r>
      <w:r w:rsidR="0048488C" w:rsidRPr="00D93D8D">
        <w:rPr>
          <w:rFonts w:asciiTheme="minorHAnsi" w:hAnsiTheme="minorHAnsi" w:cs="Arial"/>
          <w:lang w:val="fr-FR"/>
        </w:rPr>
        <w:t>documents de réflexion subséquents </w:t>
      </w:r>
      <w:r w:rsidR="005C6A12" w:rsidRPr="00D93D8D">
        <w:rPr>
          <w:rFonts w:asciiTheme="minorHAnsi" w:hAnsiTheme="minorHAnsi" w:cs="Arial"/>
          <w:lang w:val="fr-FR"/>
        </w:rPr>
        <w:t>;</w:t>
      </w:r>
    </w:p>
    <w:p w:rsidR="00BF4B57" w:rsidRPr="00D93D8D" w:rsidRDefault="00AF0F35" w:rsidP="00947794">
      <w:pPr>
        <w:pStyle w:val="Paragraphedeliste"/>
        <w:numPr>
          <w:ilvl w:val="0"/>
          <w:numId w:val="11"/>
        </w:numPr>
        <w:tabs>
          <w:tab w:val="left" w:pos="284"/>
        </w:tabs>
        <w:spacing w:after="120"/>
        <w:jc w:val="both"/>
        <w:rPr>
          <w:rFonts w:asciiTheme="minorHAnsi" w:hAnsiTheme="minorHAnsi" w:cs="Arial"/>
          <w:lang w:val="fr-FR"/>
        </w:rPr>
      </w:pPr>
      <w:r w:rsidRPr="00D93D8D">
        <w:rPr>
          <w:rFonts w:asciiTheme="minorHAnsi" w:hAnsiTheme="minorHAnsi" w:cs="Arial"/>
          <w:lang w:val="fr-FR"/>
        </w:rPr>
        <w:t>préconiser</w:t>
      </w:r>
      <w:r w:rsidR="00AB50B6" w:rsidRPr="00D93D8D">
        <w:rPr>
          <w:rFonts w:asciiTheme="minorHAnsi" w:hAnsiTheme="minorHAnsi" w:cs="Arial"/>
          <w:lang w:val="fr-FR"/>
        </w:rPr>
        <w:t xml:space="preserve"> le développement d’une</w:t>
      </w:r>
      <w:r w:rsidR="005B553B" w:rsidRPr="00D93D8D">
        <w:rPr>
          <w:rFonts w:asciiTheme="minorHAnsi" w:hAnsiTheme="minorHAnsi" w:cs="Arial"/>
          <w:lang w:val="fr-FR"/>
        </w:rPr>
        <w:t xml:space="preserve"> </w:t>
      </w:r>
      <w:r w:rsidR="00AB50B6" w:rsidRPr="00D93D8D">
        <w:rPr>
          <w:rFonts w:asciiTheme="minorHAnsi" w:hAnsiTheme="minorHAnsi" w:cs="Arial"/>
          <w:b/>
          <w:bCs/>
          <w:lang w:val="fr-FR"/>
        </w:rPr>
        <w:t>PC</w:t>
      </w:r>
      <w:r w:rsidR="00AB50B6" w:rsidRPr="00D93D8D">
        <w:rPr>
          <w:rFonts w:asciiTheme="minorHAnsi" w:hAnsiTheme="minorHAnsi" w:cs="Arial"/>
          <w:b/>
          <w:lang w:val="fr-FR"/>
        </w:rPr>
        <w:t xml:space="preserve"> simplifié</w:t>
      </w:r>
      <w:r w:rsidR="00DF1E7E" w:rsidRPr="00D93D8D">
        <w:rPr>
          <w:rFonts w:asciiTheme="minorHAnsi" w:hAnsiTheme="minorHAnsi" w:cs="Arial"/>
          <w:b/>
          <w:lang w:val="fr-FR"/>
        </w:rPr>
        <w:t>e</w:t>
      </w:r>
      <w:r w:rsidR="00AB50B6" w:rsidRPr="00D93D8D">
        <w:rPr>
          <w:rFonts w:asciiTheme="minorHAnsi" w:hAnsiTheme="minorHAnsi" w:cs="Arial"/>
          <w:b/>
          <w:lang w:val="fr-FR"/>
        </w:rPr>
        <w:t xml:space="preserve"> mais forte </w:t>
      </w:r>
      <w:r w:rsidR="00AB50B6" w:rsidRPr="00D93D8D">
        <w:rPr>
          <w:rFonts w:asciiTheme="minorHAnsi" w:hAnsiTheme="minorHAnsi" w:cs="Arial"/>
          <w:lang w:val="fr-FR"/>
        </w:rPr>
        <w:t>dans le cadre de la stratégie</w:t>
      </w:r>
      <w:r w:rsidR="00550119" w:rsidRPr="00D93D8D">
        <w:rPr>
          <w:rFonts w:asciiTheme="minorHAnsi" w:hAnsiTheme="minorHAnsi" w:cs="Arial"/>
          <w:lang w:val="fr-FR"/>
        </w:rPr>
        <w:t> </w:t>
      </w:r>
      <w:r w:rsidR="002E2543" w:rsidRPr="00D93D8D">
        <w:rPr>
          <w:rFonts w:asciiTheme="minorHAnsi" w:hAnsiTheme="minorHAnsi" w:cs="Arial"/>
          <w:lang w:val="fr-FR"/>
        </w:rPr>
        <w:t>post-2020</w:t>
      </w:r>
      <w:r w:rsidR="00AB50B6" w:rsidRPr="00D93D8D">
        <w:rPr>
          <w:rFonts w:asciiTheme="minorHAnsi" w:hAnsiTheme="minorHAnsi" w:cs="Arial"/>
          <w:lang w:val="fr-FR"/>
        </w:rPr>
        <w:t> </w:t>
      </w:r>
      <w:r w:rsidR="005C6A12" w:rsidRPr="00D93D8D">
        <w:rPr>
          <w:rFonts w:asciiTheme="minorHAnsi" w:hAnsiTheme="minorHAnsi" w:cs="Arial"/>
          <w:lang w:val="fr-FR"/>
        </w:rPr>
        <w:t>;</w:t>
      </w:r>
    </w:p>
    <w:p w:rsidR="00047B41" w:rsidRPr="00D93D8D" w:rsidRDefault="00DC61C6" w:rsidP="00AB50B6">
      <w:pPr>
        <w:pStyle w:val="Paragraphedeliste"/>
        <w:numPr>
          <w:ilvl w:val="0"/>
          <w:numId w:val="11"/>
        </w:numPr>
        <w:tabs>
          <w:tab w:val="left" w:pos="284"/>
        </w:tabs>
        <w:spacing w:after="120"/>
        <w:jc w:val="both"/>
        <w:rPr>
          <w:rFonts w:asciiTheme="minorHAnsi" w:hAnsiTheme="minorHAnsi" w:cs="Arial"/>
          <w:b/>
          <w:lang w:val="fr-FR"/>
        </w:rPr>
      </w:pPr>
      <w:r w:rsidRPr="00D93D8D">
        <w:rPr>
          <w:rFonts w:asciiTheme="minorHAnsi" w:hAnsiTheme="minorHAnsi" w:cs="Arial"/>
          <w:lang w:val="fr-FR"/>
        </w:rPr>
        <w:t>encourager</w:t>
      </w:r>
      <w:r w:rsidR="005C6A12" w:rsidRPr="00D93D8D">
        <w:rPr>
          <w:rFonts w:asciiTheme="minorHAnsi" w:hAnsiTheme="minorHAnsi" w:cs="Arial"/>
          <w:lang w:val="fr-FR"/>
        </w:rPr>
        <w:t xml:space="preserve"> </w:t>
      </w:r>
      <w:r w:rsidR="00AB50B6" w:rsidRPr="00D93D8D">
        <w:rPr>
          <w:rFonts w:asciiTheme="minorHAnsi" w:hAnsiTheme="minorHAnsi" w:cs="Arial"/>
          <w:b/>
          <w:lang w:val="fr-FR"/>
        </w:rPr>
        <w:t>la</w:t>
      </w:r>
      <w:r w:rsidR="002E2543" w:rsidRPr="00D93D8D">
        <w:rPr>
          <w:rFonts w:asciiTheme="minorHAnsi" w:hAnsiTheme="minorHAnsi" w:cs="Arial"/>
          <w:b/>
          <w:lang w:val="fr-FR"/>
        </w:rPr>
        <w:t xml:space="preserve"> contin</w:t>
      </w:r>
      <w:r w:rsidR="00AB50B6" w:rsidRPr="00D93D8D">
        <w:rPr>
          <w:rFonts w:asciiTheme="minorHAnsi" w:hAnsiTheme="minorHAnsi" w:cs="Arial"/>
          <w:b/>
          <w:lang w:val="fr-FR"/>
        </w:rPr>
        <w:t>uité de la PC</w:t>
      </w:r>
      <w:r w:rsidR="002E2543" w:rsidRPr="00D93D8D">
        <w:rPr>
          <w:rFonts w:asciiTheme="minorHAnsi" w:hAnsiTheme="minorHAnsi" w:cs="Arial"/>
          <w:b/>
          <w:lang w:val="fr-FR"/>
        </w:rPr>
        <w:t xml:space="preserve"> </w:t>
      </w:r>
      <w:r w:rsidR="00AB50B6" w:rsidRPr="00D93D8D">
        <w:rPr>
          <w:rFonts w:asciiTheme="minorHAnsi" w:hAnsiTheme="minorHAnsi" w:cs="Arial"/>
          <w:b/>
          <w:lang w:val="fr-FR"/>
        </w:rPr>
        <w:t>après</w:t>
      </w:r>
      <w:r w:rsidR="005C6A12" w:rsidRPr="00D93D8D">
        <w:rPr>
          <w:rFonts w:asciiTheme="minorHAnsi" w:hAnsiTheme="minorHAnsi" w:cs="Arial"/>
          <w:b/>
          <w:lang w:val="fr-FR"/>
        </w:rPr>
        <w:t xml:space="preserve"> 2020 </w:t>
      </w:r>
      <w:r w:rsidR="00AB50B6" w:rsidRPr="00D93D8D">
        <w:rPr>
          <w:rFonts w:asciiTheme="minorHAnsi" w:hAnsiTheme="minorHAnsi" w:cs="Arial"/>
          <w:b/>
          <w:lang w:val="fr-FR"/>
        </w:rPr>
        <w:t>pour toutes les régions européennes</w:t>
      </w:r>
      <w:r w:rsidR="00047B41" w:rsidRPr="00D93D8D">
        <w:rPr>
          <w:rFonts w:asciiTheme="minorHAnsi" w:hAnsiTheme="minorHAnsi" w:cs="Arial"/>
          <w:b/>
          <w:lang w:val="fr-FR"/>
        </w:rPr>
        <w:t>.</w:t>
      </w:r>
    </w:p>
    <w:p w:rsidR="002E2543" w:rsidRPr="00D93D8D" w:rsidRDefault="002E2543" w:rsidP="004D009B">
      <w:pPr>
        <w:tabs>
          <w:tab w:val="left" w:pos="284"/>
        </w:tabs>
        <w:spacing w:after="120"/>
        <w:jc w:val="both"/>
        <w:rPr>
          <w:rFonts w:asciiTheme="minorHAnsi" w:hAnsiTheme="minorHAnsi" w:cs="Arial"/>
          <w:lang w:val="fr-FR"/>
        </w:rPr>
      </w:pPr>
    </w:p>
    <w:p w:rsidR="005B553B" w:rsidRPr="00D93D8D" w:rsidRDefault="008E57B1" w:rsidP="004D009B">
      <w:pPr>
        <w:tabs>
          <w:tab w:val="left" w:pos="284"/>
        </w:tabs>
        <w:spacing w:after="120"/>
        <w:jc w:val="both"/>
        <w:rPr>
          <w:rFonts w:asciiTheme="minorHAnsi" w:hAnsiTheme="minorHAnsi" w:cs="Arial"/>
          <w:b/>
          <w:lang w:val="fr-FR"/>
        </w:rPr>
      </w:pPr>
      <w:r w:rsidRPr="00D93D8D">
        <w:rPr>
          <w:rFonts w:asciiTheme="minorHAnsi" w:hAnsiTheme="minorHAnsi" w:cs="Arial"/>
          <w:b/>
          <w:lang w:val="fr-FR"/>
        </w:rPr>
        <w:t>Les quatre</w:t>
      </w:r>
      <w:r w:rsidR="00F77A23" w:rsidRPr="00D93D8D">
        <w:rPr>
          <w:rFonts w:asciiTheme="minorHAnsi" w:hAnsiTheme="minorHAnsi" w:cs="Arial"/>
          <w:b/>
          <w:lang w:val="fr-FR"/>
        </w:rPr>
        <w:t xml:space="preserve"> </w:t>
      </w:r>
      <w:r w:rsidRPr="00D93D8D">
        <w:rPr>
          <w:rFonts w:asciiTheme="minorHAnsi" w:hAnsiTheme="minorHAnsi" w:cs="Arial"/>
          <w:b/>
          <w:lang w:val="fr-FR"/>
        </w:rPr>
        <w:t>régions estiment que la PC</w:t>
      </w:r>
      <w:r w:rsidR="005B553B" w:rsidRPr="00D93D8D">
        <w:rPr>
          <w:rFonts w:asciiTheme="minorHAnsi" w:hAnsiTheme="minorHAnsi" w:cs="Arial"/>
          <w:b/>
          <w:lang w:val="fr-FR"/>
        </w:rPr>
        <w:t xml:space="preserve"> </w:t>
      </w:r>
      <w:r w:rsidRPr="00D93D8D">
        <w:rPr>
          <w:rFonts w:asciiTheme="minorHAnsi" w:hAnsiTheme="minorHAnsi" w:cs="Arial"/>
          <w:b/>
          <w:lang w:val="fr-FR"/>
        </w:rPr>
        <w:t xml:space="preserve">constitue la politique d’investissement la plus </w:t>
      </w:r>
      <w:r w:rsidR="009772C2">
        <w:rPr>
          <w:rFonts w:asciiTheme="minorHAnsi" w:hAnsiTheme="minorHAnsi" w:cs="Arial"/>
          <w:b/>
          <w:lang w:val="fr-FR"/>
        </w:rPr>
        <w:t>importante</w:t>
      </w:r>
      <w:r w:rsidR="009772C2" w:rsidRPr="00D93D8D">
        <w:rPr>
          <w:rFonts w:asciiTheme="minorHAnsi" w:hAnsiTheme="minorHAnsi" w:cs="Arial"/>
          <w:b/>
          <w:lang w:val="fr-FR"/>
        </w:rPr>
        <w:t xml:space="preserve"> </w:t>
      </w:r>
      <w:r w:rsidRPr="00D93D8D">
        <w:rPr>
          <w:rFonts w:asciiTheme="minorHAnsi" w:hAnsiTheme="minorHAnsi" w:cs="Arial"/>
          <w:b/>
          <w:lang w:val="fr-FR"/>
        </w:rPr>
        <w:t xml:space="preserve">pour préserver la compétitivité </w:t>
      </w:r>
      <w:r w:rsidR="00B765AD" w:rsidRPr="00D93D8D">
        <w:rPr>
          <w:rFonts w:asciiTheme="minorHAnsi" w:hAnsiTheme="minorHAnsi" w:cs="Arial"/>
          <w:b/>
          <w:lang w:val="fr-FR"/>
        </w:rPr>
        <w:t xml:space="preserve">de l’UE </w:t>
      </w:r>
      <w:r w:rsidRPr="00D93D8D">
        <w:rPr>
          <w:rFonts w:asciiTheme="minorHAnsi" w:hAnsiTheme="minorHAnsi" w:cs="Arial"/>
          <w:b/>
          <w:lang w:val="fr-FR"/>
        </w:rPr>
        <w:t>à l’international</w:t>
      </w:r>
      <w:r w:rsidR="0005086A" w:rsidRPr="00D93D8D">
        <w:rPr>
          <w:rFonts w:asciiTheme="minorHAnsi" w:hAnsiTheme="minorHAnsi" w:cs="Arial"/>
          <w:b/>
          <w:lang w:val="fr-FR"/>
        </w:rPr>
        <w:t> ;</w:t>
      </w:r>
      <w:r w:rsidRPr="00D93D8D">
        <w:rPr>
          <w:rFonts w:asciiTheme="minorHAnsi" w:hAnsiTheme="minorHAnsi" w:cs="Arial"/>
          <w:b/>
          <w:lang w:val="fr-FR"/>
        </w:rPr>
        <w:t xml:space="preserve"> </w:t>
      </w:r>
      <w:r w:rsidR="0005086A" w:rsidRPr="00D93D8D">
        <w:rPr>
          <w:rFonts w:asciiTheme="minorHAnsi" w:hAnsiTheme="minorHAnsi" w:cs="Arial"/>
          <w:b/>
          <w:lang w:val="fr-FR"/>
        </w:rPr>
        <w:t>elles</w:t>
      </w:r>
      <w:r w:rsidRPr="00D93D8D">
        <w:rPr>
          <w:rFonts w:asciiTheme="minorHAnsi" w:hAnsiTheme="minorHAnsi" w:cs="Arial"/>
          <w:b/>
          <w:lang w:val="fr-FR"/>
        </w:rPr>
        <w:t xml:space="preserve"> font donc part des points suivants </w:t>
      </w:r>
      <w:r w:rsidR="005B553B" w:rsidRPr="00D93D8D">
        <w:rPr>
          <w:rFonts w:asciiTheme="minorHAnsi" w:hAnsiTheme="minorHAnsi" w:cs="Arial"/>
          <w:b/>
          <w:lang w:val="fr-FR"/>
        </w:rPr>
        <w:t>:</w:t>
      </w:r>
    </w:p>
    <w:p w:rsidR="00CF6606" w:rsidRPr="00D93D8D" w:rsidRDefault="00CF6606" w:rsidP="004D009B">
      <w:pPr>
        <w:tabs>
          <w:tab w:val="left" w:pos="284"/>
        </w:tabs>
        <w:spacing w:after="120"/>
        <w:jc w:val="both"/>
        <w:rPr>
          <w:rFonts w:asciiTheme="minorHAnsi" w:hAnsiTheme="minorHAnsi" w:cs="Arial"/>
          <w:b/>
          <w:lang w:val="fr-FR"/>
        </w:rPr>
      </w:pPr>
    </w:p>
    <w:p w:rsidR="00CF6606" w:rsidRPr="00D93D8D" w:rsidRDefault="001B217F" w:rsidP="004D009B">
      <w:pPr>
        <w:tabs>
          <w:tab w:val="left" w:pos="284"/>
        </w:tabs>
        <w:spacing w:after="120"/>
        <w:jc w:val="both"/>
        <w:rPr>
          <w:rFonts w:asciiTheme="minorHAnsi" w:hAnsiTheme="minorHAnsi" w:cs="Arial"/>
          <w:b/>
          <w:i/>
          <w:lang w:val="fr-FR"/>
        </w:rPr>
      </w:pPr>
      <w:r w:rsidRPr="00D93D8D">
        <w:rPr>
          <w:rFonts w:asciiTheme="minorHAnsi" w:hAnsiTheme="minorHAnsi" w:cs="Arial"/>
          <w:b/>
          <w:i/>
          <w:lang w:val="fr-FR"/>
        </w:rPr>
        <w:t>Valeur ajoutée de la PC</w:t>
      </w:r>
    </w:p>
    <w:p w:rsidR="006A0D62" w:rsidRPr="00D93D8D" w:rsidRDefault="002550A0" w:rsidP="00E268FB">
      <w:pPr>
        <w:pStyle w:val="Paragraphedeliste"/>
        <w:numPr>
          <w:ilvl w:val="0"/>
          <w:numId w:val="2"/>
        </w:numPr>
        <w:tabs>
          <w:tab w:val="left" w:pos="426"/>
        </w:tabs>
        <w:autoSpaceDE w:val="0"/>
        <w:autoSpaceDN w:val="0"/>
        <w:adjustRightInd w:val="0"/>
        <w:spacing w:after="120"/>
        <w:ind w:left="426" w:hanging="426"/>
        <w:contextualSpacing w:val="0"/>
        <w:jc w:val="both"/>
        <w:rPr>
          <w:rFonts w:asciiTheme="minorHAnsi" w:hAnsiTheme="minorHAnsi" w:cs="Arial"/>
          <w:lang w:val="fr-FR"/>
        </w:rPr>
      </w:pPr>
      <w:r w:rsidRPr="00D93D8D">
        <w:rPr>
          <w:rFonts w:asciiTheme="minorHAnsi" w:hAnsiTheme="minorHAnsi" w:cs="Arial"/>
          <w:lang w:val="fr-FR"/>
        </w:rPr>
        <w:t>La PC est essentielle pour</w:t>
      </w:r>
      <w:r w:rsidR="0004115C" w:rsidRPr="00D93D8D">
        <w:rPr>
          <w:rFonts w:asciiTheme="minorHAnsi" w:hAnsiTheme="minorHAnsi" w:cs="Arial"/>
          <w:lang w:val="fr-FR"/>
        </w:rPr>
        <w:t xml:space="preserve"> </w:t>
      </w:r>
      <w:r w:rsidRPr="00D93D8D">
        <w:rPr>
          <w:rFonts w:asciiTheme="minorHAnsi" w:hAnsiTheme="minorHAnsi" w:cs="Arial"/>
          <w:b/>
          <w:lang w:val="fr-FR"/>
        </w:rPr>
        <w:t xml:space="preserve">réduire les disparités </w:t>
      </w:r>
      <w:r w:rsidR="00393D59" w:rsidRPr="00D93D8D">
        <w:rPr>
          <w:rFonts w:asciiTheme="minorHAnsi" w:hAnsiTheme="minorHAnsi" w:cs="Arial"/>
          <w:b/>
          <w:lang w:val="fr-FR"/>
        </w:rPr>
        <w:t xml:space="preserve">au sein des </w:t>
      </w:r>
      <w:r w:rsidRPr="00D93D8D">
        <w:rPr>
          <w:rFonts w:asciiTheme="minorHAnsi" w:hAnsiTheme="minorHAnsi" w:cs="Arial"/>
          <w:b/>
          <w:lang w:val="fr-FR"/>
        </w:rPr>
        <w:t>régions européennes</w:t>
      </w:r>
      <w:r w:rsidR="00A058A8" w:rsidRPr="00D93D8D">
        <w:rPr>
          <w:rFonts w:asciiTheme="minorHAnsi" w:hAnsiTheme="minorHAnsi" w:cs="Arial"/>
          <w:b/>
          <w:lang w:val="fr-FR"/>
        </w:rPr>
        <w:t xml:space="preserve"> et </w:t>
      </w:r>
      <w:r w:rsidR="00393D59" w:rsidRPr="00D93D8D">
        <w:rPr>
          <w:rFonts w:asciiTheme="minorHAnsi" w:hAnsiTheme="minorHAnsi" w:cs="Arial"/>
          <w:b/>
          <w:lang w:val="fr-FR"/>
        </w:rPr>
        <w:t>entre elles</w:t>
      </w:r>
      <w:r w:rsidR="00E268FB" w:rsidRPr="00D93D8D">
        <w:rPr>
          <w:rFonts w:asciiTheme="minorHAnsi" w:hAnsiTheme="minorHAnsi" w:cs="Arial"/>
          <w:bCs/>
          <w:lang w:val="fr-FR"/>
        </w:rPr>
        <w:t>,</w:t>
      </w:r>
      <w:r w:rsidRPr="00D93D8D">
        <w:rPr>
          <w:rFonts w:asciiTheme="minorHAnsi" w:hAnsiTheme="minorHAnsi" w:cs="Arial"/>
          <w:b/>
          <w:lang w:val="fr-FR"/>
        </w:rPr>
        <w:t xml:space="preserve"> </w:t>
      </w:r>
      <w:r w:rsidRPr="00D93D8D">
        <w:rPr>
          <w:rFonts w:asciiTheme="minorHAnsi" w:hAnsiTheme="minorHAnsi" w:cs="Arial"/>
          <w:lang w:val="fr-FR"/>
        </w:rPr>
        <w:t xml:space="preserve">et pour renforcer la cohésion économique, </w:t>
      </w:r>
      <w:r w:rsidR="0004115C" w:rsidRPr="00D93D8D">
        <w:rPr>
          <w:rFonts w:asciiTheme="minorHAnsi" w:hAnsiTheme="minorHAnsi" w:cs="Arial"/>
          <w:lang w:val="fr-FR"/>
        </w:rPr>
        <w:t>social</w:t>
      </w:r>
      <w:r w:rsidRPr="00D93D8D">
        <w:rPr>
          <w:rFonts w:asciiTheme="minorHAnsi" w:hAnsiTheme="minorHAnsi" w:cs="Arial"/>
          <w:lang w:val="fr-FR"/>
        </w:rPr>
        <w:t>e</w:t>
      </w:r>
      <w:r w:rsidR="0004115C" w:rsidRPr="00D93D8D">
        <w:rPr>
          <w:rFonts w:asciiTheme="minorHAnsi" w:hAnsiTheme="minorHAnsi" w:cs="Arial"/>
          <w:lang w:val="fr-FR"/>
        </w:rPr>
        <w:t xml:space="preserve"> </w:t>
      </w:r>
      <w:r w:rsidRPr="00D93D8D">
        <w:rPr>
          <w:rFonts w:asciiTheme="minorHAnsi" w:hAnsiTheme="minorHAnsi" w:cs="Arial"/>
          <w:lang w:val="fr-FR"/>
        </w:rPr>
        <w:t xml:space="preserve">et </w:t>
      </w:r>
      <w:r w:rsidR="0004115C" w:rsidRPr="00D93D8D">
        <w:rPr>
          <w:rFonts w:asciiTheme="minorHAnsi" w:hAnsiTheme="minorHAnsi" w:cs="Arial"/>
          <w:lang w:val="fr-FR"/>
        </w:rPr>
        <w:t>territorial</w:t>
      </w:r>
      <w:r w:rsidRPr="00D93D8D">
        <w:rPr>
          <w:rFonts w:asciiTheme="minorHAnsi" w:hAnsiTheme="minorHAnsi" w:cs="Arial"/>
          <w:lang w:val="fr-FR"/>
        </w:rPr>
        <w:t>e</w:t>
      </w:r>
      <w:r w:rsidR="0004115C" w:rsidRPr="00D93D8D">
        <w:rPr>
          <w:rFonts w:asciiTheme="minorHAnsi" w:hAnsiTheme="minorHAnsi" w:cs="Arial"/>
          <w:lang w:val="fr-FR"/>
        </w:rPr>
        <w:t xml:space="preserve">. </w:t>
      </w:r>
      <w:r w:rsidR="00E268FB" w:rsidRPr="00D93D8D">
        <w:rPr>
          <w:rFonts w:asciiTheme="minorHAnsi" w:hAnsiTheme="minorHAnsi" w:cs="Arial"/>
          <w:lang w:val="fr-FR"/>
        </w:rPr>
        <w:t>Ainsi, les régions souhaitent souligner l’</w:t>
      </w:r>
      <w:r w:rsidR="005B553B" w:rsidRPr="00D93D8D">
        <w:rPr>
          <w:rFonts w:asciiTheme="minorHAnsi" w:hAnsiTheme="minorHAnsi" w:cs="Arial"/>
          <w:lang w:val="fr-FR"/>
        </w:rPr>
        <w:t xml:space="preserve">importance </w:t>
      </w:r>
      <w:r w:rsidR="00E268FB" w:rsidRPr="00D93D8D">
        <w:rPr>
          <w:rFonts w:asciiTheme="minorHAnsi" w:hAnsiTheme="minorHAnsi" w:cs="Arial"/>
          <w:lang w:val="fr-FR"/>
        </w:rPr>
        <w:t>de la PC et d’un</w:t>
      </w:r>
      <w:r w:rsidR="005B553B" w:rsidRPr="00D93D8D">
        <w:rPr>
          <w:rFonts w:asciiTheme="minorHAnsi" w:hAnsiTheme="minorHAnsi" w:cs="Arial"/>
          <w:lang w:val="fr-FR"/>
        </w:rPr>
        <w:t xml:space="preserve"> </w:t>
      </w:r>
      <w:r w:rsidR="005B553B" w:rsidRPr="00D93D8D">
        <w:rPr>
          <w:rFonts w:asciiTheme="minorHAnsi" w:hAnsiTheme="minorHAnsi" w:cs="Arial"/>
          <w:b/>
          <w:lang w:val="fr-FR"/>
        </w:rPr>
        <w:t>budget</w:t>
      </w:r>
      <w:r w:rsidR="00E268FB" w:rsidRPr="00D93D8D">
        <w:rPr>
          <w:rFonts w:asciiTheme="minorHAnsi" w:hAnsiTheme="minorHAnsi" w:cs="Arial"/>
          <w:b/>
          <w:lang w:val="fr-FR"/>
        </w:rPr>
        <w:t xml:space="preserve"> adéquat</w:t>
      </w:r>
      <w:r w:rsidR="005B553B" w:rsidRPr="00D93D8D">
        <w:rPr>
          <w:rFonts w:asciiTheme="minorHAnsi" w:hAnsiTheme="minorHAnsi" w:cs="Arial"/>
          <w:lang w:val="fr-FR"/>
        </w:rPr>
        <w:t xml:space="preserve"> </w:t>
      </w:r>
      <w:r w:rsidR="00E268FB" w:rsidRPr="00D93D8D">
        <w:rPr>
          <w:rFonts w:asciiTheme="minorHAnsi" w:hAnsiTheme="minorHAnsi" w:cs="Arial"/>
          <w:lang w:val="fr-FR"/>
        </w:rPr>
        <w:t xml:space="preserve">pour </w:t>
      </w:r>
      <w:r w:rsidR="00F26CA3" w:rsidRPr="00D93D8D">
        <w:rPr>
          <w:rFonts w:asciiTheme="minorHAnsi" w:hAnsiTheme="minorHAnsi" w:cs="Arial"/>
          <w:lang w:val="fr-FR"/>
        </w:rPr>
        <w:t>l’appuyer</w:t>
      </w:r>
      <w:r w:rsidR="005B553B" w:rsidRPr="00D93D8D">
        <w:rPr>
          <w:rFonts w:asciiTheme="minorHAnsi" w:hAnsiTheme="minorHAnsi" w:cs="Arial"/>
          <w:lang w:val="fr-FR"/>
        </w:rPr>
        <w:t>.</w:t>
      </w:r>
    </w:p>
    <w:p w:rsidR="009E6F64" w:rsidRPr="00D93D8D" w:rsidRDefault="00B36E5A" w:rsidP="00B36E5A">
      <w:pPr>
        <w:pStyle w:val="Paragraphedeliste"/>
        <w:numPr>
          <w:ilvl w:val="0"/>
          <w:numId w:val="2"/>
        </w:numPr>
        <w:tabs>
          <w:tab w:val="left" w:pos="426"/>
        </w:tabs>
        <w:autoSpaceDE w:val="0"/>
        <w:autoSpaceDN w:val="0"/>
        <w:adjustRightInd w:val="0"/>
        <w:spacing w:after="120"/>
        <w:contextualSpacing w:val="0"/>
        <w:jc w:val="both"/>
        <w:rPr>
          <w:rFonts w:asciiTheme="minorHAnsi" w:hAnsiTheme="minorHAnsi" w:cs="Arial"/>
          <w:lang w:val="fr-FR"/>
        </w:rPr>
      </w:pPr>
      <w:r w:rsidRPr="00D93D8D">
        <w:rPr>
          <w:rFonts w:asciiTheme="minorHAnsi" w:hAnsiTheme="minorHAnsi" w:cs="Arial"/>
          <w:lang w:val="fr-FR"/>
        </w:rPr>
        <w:lastRenderedPageBreak/>
        <w:t xml:space="preserve">La valeur ajoutée de la PC repose sur son </w:t>
      </w:r>
      <w:r w:rsidRPr="00D93D8D">
        <w:rPr>
          <w:rFonts w:asciiTheme="minorHAnsi" w:hAnsiTheme="minorHAnsi" w:cs="Arial"/>
          <w:b/>
          <w:lang w:val="fr-FR"/>
        </w:rPr>
        <w:t>approche territorialisée</w:t>
      </w:r>
      <w:r w:rsidR="0004115C" w:rsidRPr="00D93D8D">
        <w:rPr>
          <w:rFonts w:asciiTheme="minorHAnsi" w:hAnsiTheme="minorHAnsi" w:cs="Arial"/>
          <w:b/>
          <w:lang w:val="fr-FR"/>
        </w:rPr>
        <w:t xml:space="preserve">, </w:t>
      </w:r>
      <w:r w:rsidRPr="00D93D8D">
        <w:rPr>
          <w:rFonts w:asciiTheme="minorHAnsi" w:hAnsiTheme="minorHAnsi" w:cs="Arial"/>
          <w:b/>
          <w:lang w:val="fr-FR"/>
        </w:rPr>
        <w:t>sa gouvernance à plusieurs niveaux</w:t>
      </w:r>
      <w:r w:rsidR="0004115C" w:rsidRPr="00D93D8D">
        <w:rPr>
          <w:rFonts w:asciiTheme="minorHAnsi" w:hAnsiTheme="minorHAnsi" w:cs="Arial"/>
          <w:b/>
          <w:lang w:val="fr-FR"/>
        </w:rPr>
        <w:t xml:space="preserve">, </w:t>
      </w:r>
      <w:r w:rsidRPr="00D93D8D">
        <w:rPr>
          <w:rFonts w:asciiTheme="minorHAnsi" w:hAnsiTheme="minorHAnsi" w:cs="Arial"/>
          <w:b/>
          <w:lang w:val="fr-FR"/>
        </w:rPr>
        <w:t xml:space="preserve">sa planification pluriannuelle et </w:t>
      </w:r>
      <w:r w:rsidR="00FC060F" w:rsidRPr="00D93D8D">
        <w:rPr>
          <w:rFonts w:asciiTheme="minorHAnsi" w:hAnsiTheme="minorHAnsi" w:cs="Arial"/>
          <w:b/>
          <w:lang w:val="fr-FR"/>
        </w:rPr>
        <w:t>son</w:t>
      </w:r>
      <w:r w:rsidRPr="00D93D8D">
        <w:rPr>
          <w:rFonts w:asciiTheme="minorHAnsi" w:hAnsiTheme="minorHAnsi" w:cs="Arial"/>
          <w:b/>
          <w:lang w:val="fr-FR"/>
        </w:rPr>
        <w:t xml:space="preserve"> développement </w:t>
      </w:r>
      <w:r w:rsidR="0004115C" w:rsidRPr="00D93D8D">
        <w:rPr>
          <w:rFonts w:asciiTheme="minorHAnsi" w:hAnsiTheme="minorHAnsi" w:cs="Arial"/>
          <w:b/>
          <w:lang w:val="fr-FR"/>
        </w:rPr>
        <w:t>int</w:t>
      </w:r>
      <w:r w:rsidRPr="00D93D8D">
        <w:rPr>
          <w:rFonts w:asciiTheme="minorHAnsi" w:hAnsiTheme="minorHAnsi" w:cs="Arial"/>
          <w:b/>
          <w:lang w:val="fr-FR"/>
        </w:rPr>
        <w:t>é</w:t>
      </w:r>
      <w:r w:rsidR="0004115C" w:rsidRPr="00D93D8D">
        <w:rPr>
          <w:rFonts w:asciiTheme="minorHAnsi" w:hAnsiTheme="minorHAnsi" w:cs="Arial"/>
          <w:b/>
          <w:lang w:val="fr-FR"/>
        </w:rPr>
        <w:t>gr</w:t>
      </w:r>
      <w:r w:rsidRPr="00D93D8D">
        <w:rPr>
          <w:rFonts w:asciiTheme="minorHAnsi" w:hAnsiTheme="minorHAnsi" w:cs="Arial"/>
          <w:b/>
          <w:lang w:val="fr-FR"/>
        </w:rPr>
        <w:t>é</w:t>
      </w:r>
      <w:r w:rsidR="0089419D" w:rsidRPr="00D93D8D">
        <w:rPr>
          <w:rFonts w:asciiTheme="minorHAnsi" w:hAnsiTheme="minorHAnsi" w:cs="Arial"/>
          <w:lang w:val="fr-FR"/>
        </w:rPr>
        <w:t>.</w:t>
      </w:r>
      <w:r w:rsidR="005C6A12" w:rsidRPr="00D93D8D">
        <w:rPr>
          <w:rFonts w:asciiTheme="minorHAnsi" w:hAnsiTheme="minorHAnsi" w:cs="Arial"/>
          <w:lang w:val="fr-FR"/>
        </w:rPr>
        <w:t xml:space="preserve"> </w:t>
      </w:r>
      <w:r w:rsidRPr="00D93D8D">
        <w:rPr>
          <w:rFonts w:asciiTheme="minorHAnsi" w:hAnsiTheme="minorHAnsi" w:cs="Arial"/>
          <w:lang w:val="fr-FR"/>
        </w:rPr>
        <w:t xml:space="preserve">La PC </w:t>
      </w:r>
      <w:r w:rsidR="00640862" w:rsidRPr="00D93D8D">
        <w:rPr>
          <w:rFonts w:asciiTheme="minorHAnsi" w:hAnsiTheme="minorHAnsi" w:cs="Arial"/>
          <w:lang w:val="fr-FR"/>
        </w:rPr>
        <w:t xml:space="preserve">contribue également à </w:t>
      </w:r>
      <w:r w:rsidR="008B5F1F" w:rsidRPr="00D93D8D">
        <w:rPr>
          <w:rFonts w:asciiTheme="minorHAnsi" w:hAnsiTheme="minorHAnsi" w:cs="Arial"/>
          <w:lang w:val="fr-FR"/>
        </w:rPr>
        <w:t xml:space="preserve">tendre vers </w:t>
      </w:r>
      <w:r w:rsidR="00D63764" w:rsidRPr="00D93D8D">
        <w:rPr>
          <w:rFonts w:asciiTheme="minorHAnsi" w:hAnsiTheme="minorHAnsi" w:cs="Arial"/>
          <w:lang w:val="fr-FR"/>
        </w:rPr>
        <w:t xml:space="preserve">l’établissement de </w:t>
      </w:r>
      <w:r w:rsidR="008B5F1F" w:rsidRPr="00D93D8D">
        <w:rPr>
          <w:rFonts w:asciiTheme="minorHAnsi" w:hAnsiTheme="minorHAnsi" w:cs="Arial"/>
          <w:lang w:val="fr-FR"/>
        </w:rPr>
        <w:t>normes européennes sur le plan administratif</w:t>
      </w:r>
      <w:r w:rsidR="0004115C" w:rsidRPr="00D93D8D">
        <w:rPr>
          <w:rFonts w:asciiTheme="minorHAnsi" w:hAnsiTheme="minorHAnsi" w:cs="Arial"/>
          <w:lang w:val="fr-FR"/>
        </w:rPr>
        <w:t xml:space="preserve">. </w:t>
      </w:r>
      <w:r w:rsidR="008B5F1F" w:rsidRPr="00D93D8D">
        <w:rPr>
          <w:rFonts w:asciiTheme="minorHAnsi" w:hAnsiTheme="minorHAnsi" w:cs="Arial"/>
          <w:lang w:val="fr-FR"/>
        </w:rPr>
        <w:t>Ces</w:t>
      </w:r>
      <w:r w:rsidR="0004115C" w:rsidRPr="00D93D8D">
        <w:rPr>
          <w:rFonts w:asciiTheme="minorHAnsi" w:hAnsiTheme="minorHAnsi" w:cs="Arial"/>
          <w:lang w:val="fr-FR"/>
        </w:rPr>
        <w:t xml:space="preserve"> </w:t>
      </w:r>
      <w:r w:rsidR="008B5F1F" w:rsidRPr="00D93D8D">
        <w:rPr>
          <w:rFonts w:asciiTheme="minorHAnsi" w:hAnsiTheme="minorHAnsi" w:cs="Arial"/>
          <w:lang w:val="fr-FR"/>
        </w:rPr>
        <w:t>éléments</w:t>
      </w:r>
      <w:r w:rsidR="0004115C" w:rsidRPr="00D93D8D">
        <w:rPr>
          <w:rFonts w:asciiTheme="minorHAnsi" w:hAnsiTheme="minorHAnsi" w:cs="Arial"/>
          <w:lang w:val="fr-FR"/>
        </w:rPr>
        <w:t xml:space="preserve">, </w:t>
      </w:r>
      <w:r w:rsidR="0025328F" w:rsidRPr="00D93D8D">
        <w:rPr>
          <w:rFonts w:asciiTheme="minorHAnsi" w:hAnsiTheme="minorHAnsi" w:cs="Arial"/>
          <w:lang w:val="fr-FR"/>
        </w:rPr>
        <w:t>grâce auxquels</w:t>
      </w:r>
      <w:r w:rsidR="008B5F1F" w:rsidRPr="00D93D8D">
        <w:rPr>
          <w:rFonts w:asciiTheme="minorHAnsi" w:hAnsiTheme="minorHAnsi" w:cs="Arial"/>
          <w:lang w:val="fr-FR"/>
        </w:rPr>
        <w:t xml:space="preserve"> la PC </w:t>
      </w:r>
      <w:r w:rsidR="0025328F" w:rsidRPr="00D93D8D">
        <w:rPr>
          <w:rFonts w:asciiTheme="minorHAnsi" w:hAnsiTheme="minorHAnsi" w:cs="Arial"/>
          <w:lang w:val="fr-FR"/>
        </w:rPr>
        <w:t>poursuit l</w:t>
      </w:r>
      <w:r w:rsidR="008B5F1F" w:rsidRPr="00D93D8D">
        <w:rPr>
          <w:rFonts w:asciiTheme="minorHAnsi" w:hAnsiTheme="minorHAnsi" w:cs="Arial"/>
          <w:lang w:val="fr-FR"/>
        </w:rPr>
        <w:t>es objectifs de l’UE</w:t>
      </w:r>
      <w:r w:rsidR="0025328F" w:rsidRPr="00D93D8D">
        <w:rPr>
          <w:rFonts w:asciiTheme="minorHAnsi" w:hAnsiTheme="minorHAnsi" w:cs="Arial"/>
          <w:lang w:val="fr-FR"/>
        </w:rPr>
        <w:t xml:space="preserve"> tout en restant</w:t>
      </w:r>
      <w:r w:rsidR="008B5F1F" w:rsidRPr="00D93D8D">
        <w:rPr>
          <w:rFonts w:asciiTheme="minorHAnsi" w:hAnsiTheme="minorHAnsi" w:cs="Arial"/>
          <w:lang w:val="fr-FR"/>
        </w:rPr>
        <w:t xml:space="preserve"> </w:t>
      </w:r>
      <w:r w:rsidR="0025328F" w:rsidRPr="00D93D8D">
        <w:rPr>
          <w:rFonts w:asciiTheme="minorHAnsi" w:hAnsiTheme="minorHAnsi" w:cs="Arial"/>
          <w:b/>
          <w:lang w:val="fr-FR"/>
        </w:rPr>
        <w:t>au</w:t>
      </w:r>
      <w:r w:rsidR="0025328F" w:rsidRPr="00D93D8D">
        <w:rPr>
          <w:rFonts w:asciiTheme="minorHAnsi" w:hAnsiTheme="minorHAnsi" w:cs="Arial"/>
          <w:lang w:val="fr-FR"/>
        </w:rPr>
        <w:t xml:space="preserve"> </w:t>
      </w:r>
      <w:r w:rsidR="008B5F1F" w:rsidRPr="00D93D8D">
        <w:rPr>
          <w:rFonts w:asciiTheme="minorHAnsi" w:hAnsiTheme="minorHAnsi" w:cs="Arial"/>
          <w:b/>
          <w:bCs/>
          <w:lang w:val="fr-FR"/>
        </w:rPr>
        <w:t xml:space="preserve">plus </w:t>
      </w:r>
      <w:r w:rsidR="0025328F" w:rsidRPr="00D93D8D">
        <w:rPr>
          <w:rFonts w:asciiTheme="minorHAnsi" w:hAnsiTheme="minorHAnsi" w:cs="Arial"/>
          <w:b/>
          <w:bCs/>
          <w:lang w:val="fr-FR"/>
        </w:rPr>
        <w:t xml:space="preserve">près </w:t>
      </w:r>
      <w:r w:rsidR="008B5F1F" w:rsidRPr="00D93D8D">
        <w:rPr>
          <w:rFonts w:asciiTheme="minorHAnsi" w:hAnsiTheme="minorHAnsi" w:cs="Arial"/>
          <w:b/>
          <w:bCs/>
          <w:lang w:val="fr-FR"/>
        </w:rPr>
        <w:t>des citoyens</w:t>
      </w:r>
      <w:r w:rsidR="008B5F1F" w:rsidRPr="00D93D8D">
        <w:rPr>
          <w:rFonts w:asciiTheme="minorHAnsi" w:hAnsiTheme="minorHAnsi" w:cs="Arial"/>
          <w:lang w:val="fr-FR"/>
        </w:rPr>
        <w:t>, devraient être reconnus</w:t>
      </w:r>
      <w:r w:rsidR="009E6F64" w:rsidRPr="00D93D8D">
        <w:rPr>
          <w:rFonts w:asciiTheme="minorHAnsi" w:hAnsiTheme="minorHAnsi" w:cs="Arial"/>
          <w:lang w:val="fr-FR"/>
        </w:rPr>
        <w:t xml:space="preserve">. </w:t>
      </w:r>
    </w:p>
    <w:p w:rsidR="00AC411B" w:rsidRPr="00D93D8D" w:rsidRDefault="005E706B" w:rsidP="005E706B">
      <w:pPr>
        <w:pStyle w:val="Paragraphedeliste"/>
        <w:numPr>
          <w:ilvl w:val="0"/>
          <w:numId w:val="2"/>
        </w:numPr>
        <w:tabs>
          <w:tab w:val="left" w:pos="426"/>
        </w:tabs>
        <w:autoSpaceDE w:val="0"/>
        <w:autoSpaceDN w:val="0"/>
        <w:adjustRightInd w:val="0"/>
        <w:spacing w:after="120"/>
        <w:contextualSpacing w:val="0"/>
        <w:jc w:val="both"/>
        <w:rPr>
          <w:rFonts w:asciiTheme="minorHAnsi" w:hAnsiTheme="minorHAnsi" w:cs="Arial"/>
          <w:lang w:val="fr-FR"/>
        </w:rPr>
      </w:pPr>
      <w:r w:rsidRPr="00D93D8D">
        <w:rPr>
          <w:rFonts w:asciiTheme="minorHAnsi" w:hAnsiTheme="minorHAnsi" w:cs="Arial"/>
          <w:lang w:val="fr-FR"/>
        </w:rPr>
        <w:t>Le</w:t>
      </w:r>
      <w:r w:rsidR="00D74586" w:rsidRPr="00D93D8D">
        <w:rPr>
          <w:rFonts w:asciiTheme="minorHAnsi" w:hAnsiTheme="minorHAnsi" w:cs="Arial"/>
          <w:lang w:val="fr-FR"/>
        </w:rPr>
        <w:t>s</w:t>
      </w:r>
      <w:r w:rsidRPr="00D93D8D">
        <w:rPr>
          <w:rFonts w:asciiTheme="minorHAnsi" w:hAnsiTheme="minorHAnsi" w:cs="Arial"/>
          <w:lang w:val="fr-FR"/>
        </w:rPr>
        <w:t xml:space="preserve"> Fonds </w:t>
      </w:r>
      <w:r w:rsidR="00A768C8" w:rsidRPr="00D93D8D">
        <w:rPr>
          <w:rFonts w:asciiTheme="minorHAnsi" w:hAnsiTheme="minorHAnsi" w:cs="Arial"/>
          <w:lang w:val="fr-FR"/>
        </w:rPr>
        <w:t xml:space="preserve">européens </w:t>
      </w:r>
      <w:r w:rsidRPr="00D93D8D">
        <w:rPr>
          <w:rFonts w:asciiTheme="minorHAnsi" w:hAnsiTheme="minorHAnsi" w:cs="Arial"/>
          <w:lang w:val="fr-FR"/>
        </w:rPr>
        <w:t>structurel</w:t>
      </w:r>
      <w:r w:rsidR="00D74586" w:rsidRPr="00D93D8D">
        <w:rPr>
          <w:rFonts w:asciiTheme="minorHAnsi" w:hAnsiTheme="minorHAnsi" w:cs="Arial"/>
          <w:lang w:val="fr-FR"/>
        </w:rPr>
        <w:t>s</w:t>
      </w:r>
      <w:r w:rsidRPr="00D93D8D">
        <w:rPr>
          <w:rFonts w:asciiTheme="minorHAnsi" w:hAnsiTheme="minorHAnsi" w:cs="Arial"/>
          <w:lang w:val="fr-FR"/>
        </w:rPr>
        <w:t xml:space="preserve"> et d</w:t>
      </w:r>
      <w:r w:rsidR="00D74586" w:rsidRPr="00D93D8D">
        <w:rPr>
          <w:rFonts w:asciiTheme="minorHAnsi" w:hAnsiTheme="minorHAnsi" w:cs="Arial"/>
          <w:lang w:val="fr-FR"/>
        </w:rPr>
        <w:t>’</w:t>
      </w:r>
      <w:r w:rsidRPr="00D93D8D">
        <w:rPr>
          <w:rFonts w:asciiTheme="minorHAnsi" w:hAnsiTheme="minorHAnsi" w:cs="Arial"/>
          <w:lang w:val="fr-FR"/>
        </w:rPr>
        <w:t xml:space="preserve">investissement </w:t>
      </w:r>
      <w:r w:rsidR="00A768C8">
        <w:rPr>
          <w:rFonts w:asciiTheme="minorHAnsi" w:hAnsiTheme="minorHAnsi" w:cs="Arial"/>
          <w:lang w:val="fr-FR"/>
        </w:rPr>
        <w:t xml:space="preserve">(ESI) </w:t>
      </w:r>
      <w:r w:rsidR="00BB6524" w:rsidRPr="00D93D8D">
        <w:rPr>
          <w:rFonts w:asciiTheme="minorHAnsi" w:hAnsiTheme="minorHAnsi" w:cs="Arial"/>
          <w:lang w:val="fr-FR"/>
        </w:rPr>
        <w:t>sont</w:t>
      </w:r>
      <w:r w:rsidR="00AC411B" w:rsidRPr="00D93D8D">
        <w:rPr>
          <w:rFonts w:asciiTheme="minorHAnsi" w:hAnsiTheme="minorHAnsi" w:cs="Arial"/>
          <w:lang w:val="fr-FR"/>
        </w:rPr>
        <w:t xml:space="preserve"> </w:t>
      </w:r>
      <w:r w:rsidR="00054A8B" w:rsidRPr="00D93D8D">
        <w:rPr>
          <w:rFonts w:asciiTheme="minorHAnsi" w:hAnsiTheme="minorHAnsi" w:cs="Arial"/>
          <w:lang w:val="fr-FR"/>
        </w:rPr>
        <w:t>des</w:t>
      </w:r>
      <w:r w:rsidR="00387036" w:rsidRPr="00D93D8D">
        <w:rPr>
          <w:rFonts w:asciiTheme="minorHAnsi" w:hAnsiTheme="minorHAnsi" w:cs="Arial"/>
          <w:lang w:val="fr-FR"/>
        </w:rPr>
        <w:t xml:space="preserve"> </w:t>
      </w:r>
      <w:r w:rsidR="00387036" w:rsidRPr="00D93D8D">
        <w:rPr>
          <w:rFonts w:asciiTheme="minorHAnsi" w:hAnsiTheme="minorHAnsi" w:cs="Arial"/>
          <w:b/>
          <w:bCs/>
          <w:lang w:val="fr-FR"/>
        </w:rPr>
        <w:t>instrument</w:t>
      </w:r>
      <w:r w:rsidR="003B2629" w:rsidRPr="00D93D8D">
        <w:rPr>
          <w:rFonts w:asciiTheme="minorHAnsi" w:hAnsiTheme="minorHAnsi" w:cs="Arial"/>
          <w:b/>
          <w:bCs/>
          <w:lang w:val="fr-FR"/>
        </w:rPr>
        <w:t>s</w:t>
      </w:r>
      <w:r w:rsidR="00387036" w:rsidRPr="00D93D8D">
        <w:rPr>
          <w:rFonts w:asciiTheme="minorHAnsi" w:hAnsiTheme="minorHAnsi" w:cs="Arial"/>
          <w:b/>
          <w:bCs/>
          <w:lang w:val="fr-FR"/>
        </w:rPr>
        <w:t xml:space="preserve"> précieux et</w:t>
      </w:r>
      <w:r w:rsidR="00387036" w:rsidRPr="00D93D8D">
        <w:rPr>
          <w:rFonts w:asciiTheme="minorHAnsi" w:hAnsiTheme="minorHAnsi" w:cs="Arial"/>
          <w:lang w:val="fr-FR"/>
        </w:rPr>
        <w:t xml:space="preserve"> </w:t>
      </w:r>
      <w:r w:rsidR="00387036" w:rsidRPr="00D93D8D">
        <w:rPr>
          <w:rFonts w:asciiTheme="minorHAnsi" w:hAnsiTheme="minorHAnsi" w:cs="Arial"/>
          <w:b/>
          <w:lang w:val="fr-FR"/>
        </w:rPr>
        <w:t>essentiel</w:t>
      </w:r>
      <w:r w:rsidR="00E45892" w:rsidRPr="00D93D8D">
        <w:rPr>
          <w:rFonts w:asciiTheme="minorHAnsi" w:hAnsiTheme="minorHAnsi" w:cs="Arial"/>
          <w:b/>
          <w:lang w:val="fr-FR"/>
        </w:rPr>
        <w:t>s</w:t>
      </w:r>
      <w:r w:rsidR="00387036" w:rsidRPr="00D93D8D">
        <w:rPr>
          <w:rFonts w:asciiTheme="minorHAnsi" w:hAnsiTheme="minorHAnsi" w:cs="Arial"/>
          <w:b/>
          <w:lang w:val="fr-FR"/>
        </w:rPr>
        <w:t xml:space="preserve"> </w:t>
      </w:r>
      <w:r w:rsidR="00A416DF" w:rsidRPr="00D93D8D">
        <w:rPr>
          <w:rFonts w:asciiTheme="minorHAnsi" w:hAnsiTheme="minorHAnsi" w:cs="Arial"/>
          <w:lang w:val="fr-FR"/>
        </w:rPr>
        <w:t xml:space="preserve">au </w:t>
      </w:r>
      <w:r w:rsidR="00387036" w:rsidRPr="00D93D8D">
        <w:rPr>
          <w:rFonts w:asciiTheme="minorHAnsi" w:hAnsiTheme="minorHAnsi" w:cs="Arial"/>
          <w:lang w:val="fr-FR"/>
        </w:rPr>
        <w:t>soutien de la recherche et de l’</w:t>
      </w:r>
      <w:r w:rsidR="00AC411B" w:rsidRPr="00D93D8D">
        <w:rPr>
          <w:rFonts w:asciiTheme="minorHAnsi" w:hAnsiTheme="minorHAnsi" w:cs="Arial"/>
          <w:lang w:val="fr-FR"/>
        </w:rPr>
        <w:t xml:space="preserve">innovation, </w:t>
      </w:r>
      <w:r w:rsidR="00387036" w:rsidRPr="00D93D8D">
        <w:rPr>
          <w:rFonts w:asciiTheme="minorHAnsi" w:hAnsiTheme="minorHAnsi" w:cs="Arial"/>
          <w:lang w:val="fr-FR"/>
        </w:rPr>
        <w:t>des petites et moyennes entreprises</w:t>
      </w:r>
      <w:r w:rsidR="00AC411B" w:rsidRPr="00D93D8D">
        <w:rPr>
          <w:rFonts w:asciiTheme="minorHAnsi" w:hAnsiTheme="minorHAnsi" w:cs="Arial"/>
          <w:lang w:val="fr-FR"/>
        </w:rPr>
        <w:t xml:space="preserve">, </w:t>
      </w:r>
      <w:r w:rsidR="00387036" w:rsidRPr="00D93D8D">
        <w:rPr>
          <w:rFonts w:asciiTheme="minorHAnsi" w:hAnsiTheme="minorHAnsi" w:cs="Arial"/>
          <w:lang w:val="fr-FR"/>
        </w:rPr>
        <w:t>de l’emploi</w:t>
      </w:r>
      <w:r w:rsidR="00AC411B" w:rsidRPr="00D93D8D">
        <w:rPr>
          <w:rFonts w:asciiTheme="minorHAnsi" w:hAnsiTheme="minorHAnsi" w:cs="Arial"/>
          <w:lang w:val="fr-FR"/>
        </w:rPr>
        <w:t xml:space="preserve">, </w:t>
      </w:r>
      <w:r w:rsidR="00387036" w:rsidRPr="00D93D8D">
        <w:rPr>
          <w:rFonts w:asciiTheme="minorHAnsi" w:hAnsiTheme="minorHAnsi" w:cs="Arial"/>
          <w:lang w:val="fr-FR"/>
        </w:rPr>
        <w:t>de la formation, du développement urbain</w:t>
      </w:r>
      <w:r w:rsidR="00AC411B" w:rsidRPr="00D93D8D">
        <w:rPr>
          <w:rFonts w:asciiTheme="minorHAnsi" w:hAnsiTheme="minorHAnsi" w:cs="Arial"/>
          <w:lang w:val="fr-FR"/>
        </w:rPr>
        <w:t xml:space="preserve">, </w:t>
      </w:r>
      <w:r w:rsidR="00387036" w:rsidRPr="00D93D8D">
        <w:rPr>
          <w:rFonts w:asciiTheme="minorHAnsi" w:hAnsiTheme="minorHAnsi" w:cs="Arial"/>
          <w:lang w:val="fr-FR"/>
        </w:rPr>
        <w:t>de la protection de l’environnement</w:t>
      </w:r>
      <w:r w:rsidR="001F6AA9" w:rsidRPr="00D93D8D">
        <w:rPr>
          <w:rFonts w:asciiTheme="minorHAnsi" w:hAnsiTheme="minorHAnsi" w:cs="Arial"/>
          <w:lang w:val="fr-FR"/>
        </w:rPr>
        <w:t>, de la lutte contre le réchauffement</w:t>
      </w:r>
      <w:r w:rsidR="00387036" w:rsidRPr="00D93D8D">
        <w:rPr>
          <w:rFonts w:asciiTheme="minorHAnsi" w:hAnsiTheme="minorHAnsi" w:cs="Arial"/>
          <w:lang w:val="fr-FR"/>
        </w:rPr>
        <w:t xml:space="preserve"> climat</w:t>
      </w:r>
      <w:r w:rsidR="001F6AA9" w:rsidRPr="00D93D8D">
        <w:rPr>
          <w:rFonts w:asciiTheme="minorHAnsi" w:hAnsiTheme="minorHAnsi" w:cs="Arial"/>
          <w:lang w:val="fr-FR"/>
        </w:rPr>
        <w:t>ique</w:t>
      </w:r>
      <w:r w:rsidR="00387036" w:rsidRPr="00D93D8D">
        <w:rPr>
          <w:rFonts w:asciiTheme="minorHAnsi" w:hAnsiTheme="minorHAnsi" w:cs="Arial"/>
          <w:lang w:val="fr-FR"/>
        </w:rPr>
        <w:t xml:space="preserve"> et du développement des zones rurales</w:t>
      </w:r>
      <w:r w:rsidR="00AC411B" w:rsidRPr="00D93D8D">
        <w:rPr>
          <w:rFonts w:asciiTheme="minorHAnsi" w:hAnsiTheme="minorHAnsi" w:cs="Arial"/>
          <w:lang w:val="fr-FR"/>
        </w:rPr>
        <w:t xml:space="preserve">. </w:t>
      </w:r>
    </w:p>
    <w:p w:rsidR="00AC411B" w:rsidRPr="00D93D8D" w:rsidRDefault="00F074D0" w:rsidP="004D009B">
      <w:pPr>
        <w:pStyle w:val="Paragraphedeliste"/>
        <w:numPr>
          <w:ilvl w:val="0"/>
          <w:numId w:val="2"/>
        </w:numPr>
        <w:tabs>
          <w:tab w:val="left" w:pos="426"/>
        </w:tabs>
        <w:autoSpaceDE w:val="0"/>
        <w:autoSpaceDN w:val="0"/>
        <w:adjustRightInd w:val="0"/>
        <w:spacing w:after="120"/>
        <w:contextualSpacing w:val="0"/>
        <w:jc w:val="both"/>
        <w:rPr>
          <w:rFonts w:asciiTheme="minorHAnsi" w:hAnsiTheme="minorHAnsi" w:cs="Arial"/>
          <w:lang w:val="fr-FR"/>
        </w:rPr>
      </w:pPr>
      <w:r w:rsidRPr="00D93D8D">
        <w:rPr>
          <w:rFonts w:asciiTheme="minorHAnsi" w:hAnsiTheme="minorHAnsi" w:cs="Arial"/>
          <w:b/>
          <w:lang w:val="fr-FR"/>
        </w:rPr>
        <w:t xml:space="preserve">La PC </w:t>
      </w:r>
      <w:r w:rsidR="009C43B9" w:rsidRPr="00D93D8D">
        <w:rPr>
          <w:rFonts w:asciiTheme="minorHAnsi" w:hAnsiTheme="minorHAnsi" w:cs="Arial"/>
          <w:b/>
          <w:lang w:val="fr-FR"/>
        </w:rPr>
        <w:t>accroît</w:t>
      </w:r>
      <w:r w:rsidRPr="00D93D8D">
        <w:rPr>
          <w:rFonts w:asciiTheme="minorHAnsi" w:hAnsiTheme="minorHAnsi" w:cs="Arial"/>
          <w:b/>
          <w:lang w:val="fr-FR"/>
        </w:rPr>
        <w:t xml:space="preserve"> la résilience de l’économie </w:t>
      </w:r>
      <w:r w:rsidR="00BC1566" w:rsidRPr="00D93D8D">
        <w:rPr>
          <w:rFonts w:asciiTheme="minorHAnsi" w:hAnsiTheme="minorHAnsi" w:cs="Arial"/>
          <w:b/>
          <w:lang w:val="fr-FR"/>
        </w:rPr>
        <w:t>européenne</w:t>
      </w:r>
      <w:r w:rsidRPr="00D93D8D">
        <w:rPr>
          <w:rFonts w:asciiTheme="minorHAnsi" w:hAnsiTheme="minorHAnsi" w:cs="Arial"/>
          <w:b/>
          <w:lang w:val="fr-FR"/>
        </w:rPr>
        <w:t xml:space="preserve"> </w:t>
      </w:r>
      <w:r w:rsidRPr="00D93D8D">
        <w:rPr>
          <w:rFonts w:asciiTheme="minorHAnsi" w:hAnsiTheme="minorHAnsi" w:cs="Arial"/>
          <w:lang w:val="fr-FR"/>
        </w:rPr>
        <w:t>à tous les niveaux</w:t>
      </w:r>
      <w:r w:rsidR="001F58C7" w:rsidRPr="00D93D8D">
        <w:rPr>
          <w:rFonts w:asciiTheme="minorHAnsi" w:hAnsiTheme="minorHAnsi" w:cs="Arial"/>
          <w:lang w:val="fr-FR"/>
        </w:rPr>
        <w:t xml:space="preserve"> tout en </w:t>
      </w:r>
      <w:r w:rsidR="004D2C1C" w:rsidRPr="00D93D8D">
        <w:rPr>
          <w:rFonts w:asciiTheme="minorHAnsi" w:hAnsiTheme="minorHAnsi" w:cs="Arial"/>
          <w:lang w:val="fr-FR"/>
        </w:rPr>
        <w:t xml:space="preserve">permettant aux </w:t>
      </w:r>
      <w:r w:rsidR="001F58C7" w:rsidRPr="00D93D8D">
        <w:rPr>
          <w:rFonts w:asciiTheme="minorHAnsi" w:hAnsiTheme="minorHAnsi" w:cs="Arial"/>
          <w:lang w:val="fr-FR"/>
        </w:rPr>
        <w:t>économies locales</w:t>
      </w:r>
      <w:r w:rsidR="004D2C1C" w:rsidRPr="00D93D8D">
        <w:rPr>
          <w:rFonts w:asciiTheme="minorHAnsi" w:hAnsiTheme="minorHAnsi" w:cs="Arial"/>
          <w:lang w:val="fr-FR"/>
        </w:rPr>
        <w:t xml:space="preserve">, grâce </w:t>
      </w:r>
      <w:proofErr w:type="spellStart"/>
      <w:r w:rsidR="004D2C1C" w:rsidRPr="00D93D8D">
        <w:rPr>
          <w:rFonts w:asciiTheme="minorHAnsi" w:hAnsiTheme="minorHAnsi" w:cs="Arial"/>
          <w:lang w:val="fr-FR"/>
        </w:rPr>
        <w:t>à</w:t>
      </w:r>
      <w:r w:rsidR="009772C2">
        <w:rPr>
          <w:rFonts w:asciiTheme="minorHAnsi" w:hAnsiTheme="minorHAnsi" w:cs="Arial"/>
          <w:lang w:val="fr-FR"/>
        </w:rPr>
        <w:t>ses</w:t>
      </w:r>
      <w:proofErr w:type="spellEnd"/>
      <w:r w:rsidR="009772C2">
        <w:rPr>
          <w:rFonts w:asciiTheme="minorHAnsi" w:hAnsiTheme="minorHAnsi" w:cs="Arial"/>
          <w:lang w:val="fr-FR"/>
        </w:rPr>
        <w:t xml:space="preserve"> </w:t>
      </w:r>
      <w:r w:rsidR="004D2C1C" w:rsidRPr="00D93D8D">
        <w:rPr>
          <w:rFonts w:asciiTheme="minorHAnsi" w:hAnsiTheme="minorHAnsi" w:cs="Arial"/>
          <w:lang w:val="fr-FR"/>
        </w:rPr>
        <w:t>intervention</w:t>
      </w:r>
      <w:r w:rsidR="009772C2">
        <w:rPr>
          <w:rFonts w:asciiTheme="minorHAnsi" w:hAnsiTheme="minorHAnsi" w:cs="Arial"/>
          <w:lang w:val="fr-FR"/>
        </w:rPr>
        <w:t>s</w:t>
      </w:r>
      <w:r w:rsidR="004D2C1C" w:rsidRPr="00D93D8D">
        <w:rPr>
          <w:rFonts w:asciiTheme="minorHAnsi" w:hAnsiTheme="minorHAnsi" w:cs="Arial"/>
          <w:lang w:val="fr-FR"/>
        </w:rPr>
        <w:t>, de rester</w:t>
      </w:r>
      <w:r w:rsidRPr="00D93D8D">
        <w:rPr>
          <w:rFonts w:asciiTheme="minorHAnsi" w:hAnsiTheme="minorHAnsi" w:cs="Arial"/>
          <w:lang w:val="fr-FR"/>
        </w:rPr>
        <w:t xml:space="preserve"> </w:t>
      </w:r>
      <w:r w:rsidR="001F58C7" w:rsidRPr="00D93D8D">
        <w:rPr>
          <w:rFonts w:asciiTheme="minorHAnsi" w:hAnsiTheme="minorHAnsi" w:cs="Arial"/>
          <w:lang w:val="fr-FR"/>
        </w:rPr>
        <w:t xml:space="preserve">ouvertes au commerce </w:t>
      </w:r>
      <w:r w:rsidR="009E6F64" w:rsidRPr="00D93D8D">
        <w:rPr>
          <w:rFonts w:asciiTheme="minorHAnsi" w:hAnsiTheme="minorHAnsi" w:cs="Arial"/>
          <w:lang w:val="fr-FR"/>
        </w:rPr>
        <w:t xml:space="preserve">international </w:t>
      </w:r>
      <w:r w:rsidR="001F58C7" w:rsidRPr="00D93D8D">
        <w:rPr>
          <w:rFonts w:asciiTheme="minorHAnsi" w:hAnsiTheme="minorHAnsi" w:cs="Arial"/>
          <w:lang w:val="fr-FR"/>
        </w:rPr>
        <w:t>sur des bases justes</w:t>
      </w:r>
      <w:r w:rsidR="006E4178" w:rsidRPr="00D93D8D">
        <w:rPr>
          <w:rFonts w:asciiTheme="minorHAnsi" w:hAnsiTheme="minorHAnsi" w:cs="Arial"/>
          <w:lang w:val="fr-FR"/>
        </w:rPr>
        <w:t xml:space="preserve">. </w:t>
      </w:r>
      <w:r w:rsidR="001F58C7" w:rsidRPr="00D93D8D">
        <w:rPr>
          <w:rFonts w:asciiTheme="minorHAnsi" w:hAnsiTheme="minorHAnsi" w:cs="Arial"/>
          <w:lang w:val="fr-FR"/>
        </w:rPr>
        <w:t xml:space="preserve">En effet, ces </w:t>
      </w:r>
      <w:r w:rsidR="006E4178" w:rsidRPr="00D93D8D">
        <w:rPr>
          <w:rFonts w:asciiTheme="minorHAnsi" w:hAnsiTheme="minorHAnsi" w:cs="Arial"/>
          <w:lang w:val="fr-FR"/>
        </w:rPr>
        <w:t xml:space="preserve">interventions </w:t>
      </w:r>
      <w:r w:rsidR="001F58C7" w:rsidRPr="00D93D8D">
        <w:rPr>
          <w:rFonts w:asciiTheme="minorHAnsi" w:hAnsiTheme="minorHAnsi" w:cs="Arial"/>
          <w:lang w:val="fr-FR"/>
        </w:rPr>
        <w:t xml:space="preserve">permettent de promouvoir le transfert de </w:t>
      </w:r>
      <w:r w:rsidR="00AC411B" w:rsidRPr="00D93D8D">
        <w:rPr>
          <w:rFonts w:asciiTheme="minorHAnsi" w:hAnsiTheme="minorHAnsi" w:cs="Arial"/>
          <w:lang w:val="fr-FR"/>
        </w:rPr>
        <w:t>technolog</w:t>
      </w:r>
      <w:r w:rsidR="001F58C7" w:rsidRPr="00D93D8D">
        <w:rPr>
          <w:rFonts w:asciiTheme="minorHAnsi" w:hAnsiTheme="minorHAnsi" w:cs="Arial"/>
          <w:lang w:val="fr-FR"/>
        </w:rPr>
        <w:t>ies</w:t>
      </w:r>
      <w:r w:rsidR="006E4178" w:rsidRPr="00D93D8D">
        <w:rPr>
          <w:rFonts w:asciiTheme="minorHAnsi" w:hAnsiTheme="minorHAnsi" w:cs="Arial"/>
          <w:lang w:val="fr-FR"/>
        </w:rPr>
        <w:t xml:space="preserve"> </w:t>
      </w:r>
      <w:r w:rsidR="001F58C7" w:rsidRPr="00D93D8D">
        <w:rPr>
          <w:rFonts w:asciiTheme="minorHAnsi" w:hAnsiTheme="minorHAnsi" w:cs="Arial"/>
          <w:lang w:val="fr-FR"/>
        </w:rPr>
        <w:t>et de renforcer les atouts et les capacités des systèmes économiques locaux</w:t>
      </w:r>
      <w:r w:rsidR="00AC411B" w:rsidRPr="00D93D8D">
        <w:rPr>
          <w:rFonts w:asciiTheme="minorHAnsi" w:hAnsiTheme="minorHAnsi" w:cs="Arial"/>
          <w:lang w:val="fr-FR"/>
        </w:rPr>
        <w:t xml:space="preserve">. </w:t>
      </w:r>
      <w:r w:rsidR="001F58C7" w:rsidRPr="00D93D8D">
        <w:rPr>
          <w:rFonts w:asciiTheme="minorHAnsi" w:hAnsiTheme="minorHAnsi" w:cs="Arial"/>
          <w:lang w:val="fr-FR"/>
        </w:rPr>
        <w:t xml:space="preserve">La politique régionale permet de partager les </w:t>
      </w:r>
      <w:r w:rsidR="00A833E5" w:rsidRPr="00D93D8D">
        <w:rPr>
          <w:rFonts w:asciiTheme="minorHAnsi" w:hAnsiTheme="minorHAnsi" w:cs="Arial"/>
          <w:lang w:val="fr-FR"/>
        </w:rPr>
        <w:t xml:space="preserve">bénéfices </w:t>
      </w:r>
      <w:r w:rsidR="001F58C7" w:rsidRPr="00D93D8D">
        <w:rPr>
          <w:rFonts w:asciiTheme="minorHAnsi" w:hAnsiTheme="minorHAnsi" w:cs="Arial"/>
          <w:lang w:val="fr-FR"/>
        </w:rPr>
        <w:t xml:space="preserve">de la mondialisation de manière plus </w:t>
      </w:r>
      <w:r w:rsidR="00A833E5" w:rsidRPr="00D93D8D">
        <w:rPr>
          <w:rFonts w:asciiTheme="minorHAnsi" w:hAnsiTheme="minorHAnsi" w:cs="Arial"/>
          <w:lang w:val="fr-FR"/>
        </w:rPr>
        <w:t xml:space="preserve">équitable </w:t>
      </w:r>
      <w:r w:rsidR="001F58C7" w:rsidRPr="00D93D8D">
        <w:rPr>
          <w:rFonts w:asciiTheme="minorHAnsi" w:hAnsiTheme="minorHAnsi" w:cs="Arial"/>
          <w:lang w:val="fr-FR"/>
        </w:rPr>
        <w:t>et d’améliorer la compétitivité</w:t>
      </w:r>
      <w:r w:rsidR="00AC411B" w:rsidRPr="00D93D8D">
        <w:rPr>
          <w:rFonts w:asciiTheme="minorHAnsi" w:hAnsiTheme="minorHAnsi" w:cs="Arial"/>
          <w:lang w:val="fr-FR"/>
        </w:rPr>
        <w:t xml:space="preserve"> </w:t>
      </w:r>
      <w:r w:rsidR="001F58C7" w:rsidRPr="00D93D8D">
        <w:rPr>
          <w:rFonts w:asciiTheme="minorHAnsi" w:hAnsiTheme="minorHAnsi" w:cs="Arial"/>
          <w:lang w:val="fr-FR"/>
        </w:rPr>
        <w:t xml:space="preserve">des territoires en </w:t>
      </w:r>
      <w:r w:rsidR="00AC411B" w:rsidRPr="00D93D8D">
        <w:rPr>
          <w:rFonts w:asciiTheme="minorHAnsi" w:hAnsiTheme="minorHAnsi" w:cs="Arial"/>
          <w:lang w:val="fr-FR"/>
        </w:rPr>
        <w:t>Europe.</w:t>
      </w:r>
    </w:p>
    <w:p w:rsidR="009E6F64" w:rsidRPr="00D93D8D" w:rsidRDefault="00EA7F3B" w:rsidP="007C48AB">
      <w:pPr>
        <w:pStyle w:val="Paragraphedeliste"/>
        <w:numPr>
          <w:ilvl w:val="0"/>
          <w:numId w:val="2"/>
        </w:numPr>
        <w:tabs>
          <w:tab w:val="left" w:pos="426"/>
        </w:tabs>
        <w:autoSpaceDE w:val="0"/>
        <w:autoSpaceDN w:val="0"/>
        <w:adjustRightInd w:val="0"/>
        <w:spacing w:after="120"/>
        <w:contextualSpacing w:val="0"/>
        <w:jc w:val="both"/>
        <w:rPr>
          <w:rFonts w:asciiTheme="minorHAnsi" w:hAnsiTheme="minorHAnsi" w:cs="Arial"/>
          <w:lang w:val="fr-FR"/>
        </w:rPr>
      </w:pPr>
      <w:r w:rsidRPr="00D93D8D">
        <w:rPr>
          <w:rFonts w:asciiTheme="minorHAnsi" w:hAnsiTheme="minorHAnsi" w:cs="Arial"/>
          <w:b/>
          <w:lang w:val="fr-FR"/>
        </w:rPr>
        <w:t>La PC devrait conserver son caractère stratégique</w:t>
      </w:r>
      <w:r w:rsidR="007C48AB" w:rsidRPr="00D93D8D">
        <w:rPr>
          <w:rFonts w:asciiTheme="minorHAnsi" w:hAnsiTheme="minorHAnsi" w:cs="Arial"/>
          <w:lang w:val="fr-FR"/>
        </w:rPr>
        <w:t xml:space="preserve"> en</w:t>
      </w:r>
      <w:r w:rsidR="00AC411B" w:rsidRPr="00D93D8D">
        <w:rPr>
          <w:rFonts w:asciiTheme="minorHAnsi" w:hAnsiTheme="minorHAnsi" w:cs="Arial"/>
          <w:lang w:val="fr-FR"/>
        </w:rPr>
        <w:t xml:space="preserve"> </w:t>
      </w:r>
      <w:r w:rsidR="007C48AB" w:rsidRPr="00D93D8D">
        <w:rPr>
          <w:rFonts w:asciiTheme="minorHAnsi" w:hAnsiTheme="minorHAnsi" w:cs="Arial"/>
          <w:lang w:val="fr-FR"/>
        </w:rPr>
        <w:t>gara</w:t>
      </w:r>
      <w:r w:rsidR="00D5000D" w:rsidRPr="00D93D8D">
        <w:rPr>
          <w:rFonts w:asciiTheme="minorHAnsi" w:hAnsiTheme="minorHAnsi" w:cs="Arial"/>
          <w:lang w:val="fr-FR"/>
        </w:rPr>
        <w:t>n</w:t>
      </w:r>
      <w:r w:rsidR="007C48AB" w:rsidRPr="00D93D8D">
        <w:rPr>
          <w:rFonts w:asciiTheme="minorHAnsi" w:hAnsiTheme="minorHAnsi" w:cs="Arial"/>
          <w:lang w:val="fr-FR"/>
        </w:rPr>
        <w:t xml:space="preserve">tissant un cadre d’investissement durable et </w:t>
      </w:r>
      <w:r w:rsidR="00AC411B" w:rsidRPr="00D93D8D">
        <w:rPr>
          <w:rFonts w:asciiTheme="minorHAnsi" w:hAnsiTheme="minorHAnsi" w:cs="Arial"/>
          <w:lang w:val="fr-FR"/>
        </w:rPr>
        <w:t>adaptable</w:t>
      </w:r>
      <w:r w:rsidR="007C48AB" w:rsidRPr="00D93D8D">
        <w:rPr>
          <w:rFonts w:asciiTheme="minorHAnsi" w:hAnsiTheme="minorHAnsi" w:cs="Arial"/>
          <w:lang w:val="fr-FR"/>
        </w:rPr>
        <w:t xml:space="preserve"> afin de soutenir un impact sur le développement à long terme</w:t>
      </w:r>
      <w:r w:rsidR="00AC411B" w:rsidRPr="00D93D8D">
        <w:rPr>
          <w:rFonts w:asciiTheme="minorHAnsi" w:hAnsiTheme="minorHAnsi" w:cs="Arial"/>
          <w:lang w:val="fr-FR"/>
        </w:rPr>
        <w:t xml:space="preserve">. </w:t>
      </w:r>
      <w:r w:rsidR="007C48AB" w:rsidRPr="00D93D8D">
        <w:rPr>
          <w:rFonts w:asciiTheme="minorHAnsi" w:hAnsiTheme="minorHAnsi" w:cs="Arial"/>
          <w:lang w:val="fr-FR"/>
        </w:rPr>
        <w:t>En parallèle, la PC doit également être en phase avec les objectifs stratégiques de l’UE pour l</w:t>
      </w:r>
      <w:r w:rsidR="00D74586" w:rsidRPr="00D93D8D">
        <w:rPr>
          <w:rFonts w:asciiTheme="minorHAnsi" w:hAnsiTheme="minorHAnsi" w:cs="Arial"/>
          <w:lang w:val="fr-FR"/>
        </w:rPr>
        <w:t>’</w:t>
      </w:r>
      <w:r w:rsidR="007C48AB" w:rsidRPr="00D93D8D">
        <w:rPr>
          <w:rFonts w:asciiTheme="minorHAnsi" w:hAnsiTheme="minorHAnsi" w:cs="Arial"/>
          <w:lang w:val="fr-FR"/>
        </w:rPr>
        <w:t>après 2020</w:t>
      </w:r>
      <w:r w:rsidR="00D01B34" w:rsidRPr="00D93D8D">
        <w:rPr>
          <w:rFonts w:asciiTheme="minorHAnsi" w:hAnsiTheme="minorHAnsi" w:cs="Arial"/>
          <w:lang w:val="fr-FR"/>
        </w:rPr>
        <w:t>,</w:t>
      </w:r>
      <w:r w:rsidR="00AC411B" w:rsidRPr="00D93D8D">
        <w:rPr>
          <w:rFonts w:asciiTheme="minorHAnsi" w:hAnsiTheme="minorHAnsi" w:cs="Arial"/>
          <w:lang w:val="fr-FR"/>
        </w:rPr>
        <w:t xml:space="preserve"> </w:t>
      </w:r>
      <w:r w:rsidR="007C48AB" w:rsidRPr="00D93D8D">
        <w:rPr>
          <w:rFonts w:asciiTheme="minorHAnsi" w:hAnsiTheme="minorHAnsi" w:cs="Arial"/>
          <w:lang w:val="fr-FR"/>
        </w:rPr>
        <w:t xml:space="preserve">sans perdre </w:t>
      </w:r>
      <w:r w:rsidR="00BA33EF" w:rsidRPr="00D93D8D">
        <w:rPr>
          <w:rFonts w:asciiTheme="minorHAnsi" w:hAnsiTheme="minorHAnsi" w:cs="Arial"/>
          <w:lang w:val="fr-FR"/>
        </w:rPr>
        <w:t xml:space="preserve">de </w:t>
      </w:r>
      <w:r w:rsidR="00FE4A0D" w:rsidRPr="00D93D8D">
        <w:rPr>
          <w:rFonts w:asciiTheme="minorHAnsi" w:hAnsiTheme="minorHAnsi" w:cs="Arial"/>
          <w:lang w:val="fr-FR"/>
        </w:rPr>
        <w:t xml:space="preserve">vue </w:t>
      </w:r>
      <w:r w:rsidR="00BA33EF" w:rsidRPr="00D93D8D">
        <w:rPr>
          <w:rFonts w:asciiTheme="minorHAnsi" w:hAnsiTheme="minorHAnsi" w:cs="Arial"/>
          <w:lang w:val="fr-FR"/>
        </w:rPr>
        <w:t xml:space="preserve">sa </w:t>
      </w:r>
      <w:r w:rsidR="00AC411B" w:rsidRPr="00D93D8D">
        <w:rPr>
          <w:rFonts w:asciiTheme="minorHAnsi" w:hAnsiTheme="minorHAnsi" w:cs="Arial"/>
          <w:lang w:val="fr-FR"/>
        </w:rPr>
        <w:t>territorial</w:t>
      </w:r>
      <w:r w:rsidR="00BA33EF" w:rsidRPr="00D93D8D">
        <w:rPr>
          <w:rFonts w:asciiTheme="minorHAnsi" w:hAnsiTheme="minorHAnsi" w:cs="Arial"/>
          <w:lang w:val="fr-FR"/>
        </w:rPr>
        <w:t>ité</w:t>
      </w:r>
      <w:r w:rsidR="00AC411B" w:rsidRPr="00D93D8D">
        <w:rPr>
          <w:rFonts w:asciiTheme="minorHAnsi" w:hAnsiTheme="minorHAnsi" w:cs="Arial"/>
          <w:lang w:val="fr-FR"/>
        </w:rPr>
        <w:t xml:space="preserve">. </w:t>
      </w:r>
    </w:p>
    <w:p w:rsidR="00CF6606" w:rsidRPr="00D93D8D" w:rsidRDefault="00CF6606" w:rsidP="00947794">
      <w:pPr>
        <w:tabs>
          <w:tab w:val="left" w:pos="426"/>
        </w:tabs>
        <w:autoSpaceDE w:val="0"/>
        <w:autoSpaceDN w:val="0"/>
        <w:adjustRightInd w:val="0"/>
        <w:spacing w:after="120"/>
        <w:jc w:val="both"/>
        <w:rPr>
          <w:rFonts w:asciiTheme="minorHAnsi" w:hAnsiTheme="minorHAnsi" w:cs="Arial"/>
          <w:b/>
          <w:lang w:val="fr-FR"/>
        </w:rPr>
      </w:pPr>
    </w:p>
    <w:p w:rsidR="009115DA" w:rsidRPr="00D93D8D" w:rsidRDefault="009115DA" w:rsidP="004D009B">
      <w:pPr>
        <w:tabs>
          <w:tab w:val="left" w:pos="426"/>
        </w:tabs>
        <w:autoSpaceDE w:val="0"/>
        <w:autoSpaceDN w:val="0"/>
        <w:adjustRightInd w:val="0"/>
        <w:spacing w:after="120"/>
        <w:jc w:val="both"/>
        <w:rPr>
          <w:rFonts w:asciiTheme="minorHAnsi" w:hAnsiTheme="minorHAnsi" w:cs="Arial"/>
          <w:b/>
          <w:lang w:val="fr-FR"/>
        </w:rPr>
      </w:pPr>
      <w:r w:rsidRPr="00D93D8D">
        <w:rPr>
          <w:rFonts w:asciiTheme="minorHAnsi" w:hAnsiTheme="minorHAnsi" w:cs="Arial"/>
          <w:b/>
          <w:i/>
          <w:lang w:val="fr-FR"/>
        </w:rPr>
        <w:t>Go</w:t>
      </w:r>
      <w:r w:rsidR="004719D3" w:rsidRPr="00D93D8D">
        <w:rPr>
          <w:rFonts w:asciiTheme="minorHAnsi" w:hAnsiTheme="minorHAnsi" w:cs="Arial"/>
          <w:b/>
          <w:i/>
          <w:lang w:val="fr-FR"/>
        </w:rPr>
        <w:t>u</w:t>
      </w:r>
      <w:r w:rsidRPr="00D93D8D">
        <w:rPr>
          <w:rFonts w:asciiTheme="minorHAnsi" w:hAnsiTheme="minorHAnsi" w:cs="Arial"/>
          <w:b/>
          <w:i/>
          <w:lang w:val="fr-FR"/>
        </w:rPr>
        <w:t xml:space="preserve">vernance </w:t>
      </w:r>
    </w:p>
    <w:p w:rsidR="005C6A12" w:rsidRPr="00D93D8D" w:rsidRDefault="004719D3" w:rsidP="004D009B">
      <w:pPr>
        <w:pStyle w:val="Paragraphedeliste"/>
        <w:numPr>
          <w:ilvl w:val="0"/>
          <w:numId w:val="16"/>
        </w:numPr>
        <w:spacing w:after="120"/>
        <w:ind w:left="425" w:hanging="425"/>
        <w:jc w:val="both"/>
        <w:rPr>
          <w:rFonts w:asciiTheme="minorHAnsi" w:hAnsiTheme="minorHAnsi" w:cs="Arial"/>
          <w:lang w:val="fr-FR"/>
        </w:rPr>
      </w:pPr>
      <w:r w:rsidRPr="00D93D8D">
        <w:rPr>
          <w:rFonts w:asciiTheme="minorHAnsi" w:hAnsiTheme="minorHAnsi" w:cs="Arial"/>
          <w:b/>
          <w:lang w:val="fr-FR"/>
        </w:rPr>
        <w:t xml:space="preserve">L’orientation stratégique de la PC doit être décidée conjointement </w:t>
      </w:r>
      <w:r w:rsidRPr="00D93D8D">
        <w:rPr>
          <w:rFonts w:asciiTheme="minorHAnsi" w:hAnsiTheme="minorHAnsi" w:cs="Arial"/>
          <w:bCs/>
          <w:lang w:val="fr-FR"/>
        </w:rPr>
        <w:t>par la Commission</w:t>
      </w:r>
      <w:r w:rsidR="00EB2D11" w:rsidRPr="00D93D8D">
        <w:rPr>
          <w:rFonts w:asciiTheme="minorHAnsi" w:hAnsiTheme="minorHAnsi" w:cs="Arial"/>
          <w:bCs/>
          <w:lang w:val="fr-FR"/>
        </w:rPr>
        <w:t> </w:t>
      </w:r>
      <w:r w:rsidRPr="00D93D8D">
        <w:rPr>
          <w:rFonts w:asciiTheme="minorHAnsi" w:hAnsiTheme="minorHAnsi" w:cs="Arial"/>
          <w:bCs/>
          <w:lang w:val="fr-FR"/>
        </w:rPr>
        <w:t xml:space="preserve">européenne, les </w:t>
      </w:r>
      <w:r w:rsidR="00C52A51" w:rsidRPr="00D93D8D">
        <w:rPr>
          <w:rFonts w:asciiTheme="minorHAnsi" w:hAnsiTheme="minorHAnsi" w:cs="Arial"/>
          <w:bCs/>
          <w:lang w:val="fr-FR"/>
        </w:rPr>
        <w:t>É</w:t>
      </w:r>
      <w:r w:rsidRPr="00D93D8D">
        <w:rPr>
          <w:rFonts w:asciiTheme="minorHAnsi" w:hAnsiTheme="minorHAnsi" w:cs="Arial"/>
          <w:bCs/>
          <w:lang w:val="fr-FR"/>
        </w:rPr>
        <w:t>tats</w:t>
      </w:r>
      <w:r w:rsidR="00C52A51" w:rsidRPr="00D93D8D">
        <w:rPr>
          <w:rFonts w:asciiTheme="minorHAnsi" w:hAnsiTheme="minorHAnsi" w:cs="Arial"/>
          <w:bCs/>
          <w:lang w:val="fr-FR"/>
        </w:rPr>
        <w:t> </w:t>
      </w:r>
      <w:r w:rsidRPr="00D93D8D">
        <w:rPr>
          <w:rFonts w:asciiTheme="minorHAnsi" w:hAnsiTheme="minorHAnsi" w:cs="Arial"/>
          <w:bCs/>
          <w:lang w:val="fr-FR"/>
        </w:rPr>
        <w:t>membres</w:t>
      </w:r>
      <w:r w:rsidRPr="00D93D8D">
        <w:rPr>
          <w:rFonts w:asciiTheme="minorHAnsi" w:hAnsiTheme="minorHAnsi" w:cs="Arial"/>
          <w:b/>
          <w:lang w:val="fr-FR"/>
        </w:rPr>
        <w:t xml:space="preserve"> </w:t>
      </w:r>
      <w:r w:rsidRPr="00D93D8D">
        <w:rPr>
          <w:rFonts w:asciiTheme="minorHAnsi" w:hAnsiTheme="minorHAnsi" w:cs="Arial"/>
          <w:lang w:val="fr-FR"/>
        </w:rPr>
        <w:t>et les régions</w:t>
      </w:r>
      <w:r w:rsidR="005C6A12" w:rsidRPr="00D93D8D">
        <w:rPr>
          <w:rFonts w:asciiTheme="minorHAnsi" w:hAnsiTheme="minorHAnsi" w:cs="Arial"/>
          <w:lang w:val="fr-FR"/>
        </w:rPr>
        <w:t xml:space="preserve">. </w:t>
      </w:r>
      <w:r w:rsidR="000E3E94" w:rsidRPr="00D93D8D">
        <w:rPr>
          <w:rFonts w:asciiTheme="minorHAnsi" w:hAnsiTheme="minorHAnsi" w:cs="Arial"/>
          <w:lang w:val="fr-FR"/>
        </w:rPr>
        <w:t>Dans le même temps</w:t>
      </w:r>
      <w:r w:rsidR="00D01B34" w:rsidRPr="00D93D8D">
        <w:rPr>
          <w:rFonts w:asciiTheme="minorHAnsi" w:hAnsiTheme="minorHAnsi" w:cs="Arial"/>
          <w:lang w:val="fr-FR"/>
        </w:rPr>
        <w:t xml:space="preserve">, </w:t>
      </w:r>
      <w:r w:rsidR="000E3E94" w:rsidRPr="00D93D8D">
        <w:rPr>
          <w:rFonts w:asciiTheme="minorHAnsi" w:hAnsiTheme="minorHAnsi" w:cs="Arial"/>
          <w:lang w:val="fr-FR"/>
        </w:rPr>
        <w:t xml:space="preserve">les régions renforcent la pertinence d’une gestion de la PC </w:t>
      </w:r>
      <w:r w:rsidR="00CC2A4D" w:rsidRPr="00D93D8D">
        <w:rPr>
          <w:rFonts w:asciiTheme="minorHAnsi" w:hAnsiTheme="minorHAnsi" w:cs="Arial"/>
          <w:lang w:val="fr-FR"/>
        </w:rPr>
        <w:t>au</w:t>
      </w:r>
      <w:r w:rsidR="000E3E94" w:rsidRPr="00D93D8D">
        <w:rPr>
          <w:rFonts w:asciiTheme="minorHAnsi" w:hAnsiTheme="minorHAnsi" w:cs="Arial"/>
          <w:lang w:val="fr-FR"/>
        </w:rPr>
        <w:t xml:space="preserve"> niveau régional</w:t>
      </w:r>
      <w:r w:rsidR="00D01B34" w:rsidRPr="00D93D8D">
        <w:rPr>
          <w:rFonts w:asciiTheme="minorHAnsi" w:hAnsiTheme="minorHAnsi" w:cs="Arial"/>
          <w:lang w:val="fr-FR"/>
        </w:rPr>
        <w:t>.</w:t>
      </w:r>
    </w:p>
    <w:p w:rsidR="009115DA" w:rsidRPr="00D93D8D" w:rsidRDefault="00B37520" w:rsidP="00B37520">
      <w:pPr>
        <w:pStyle w:val="Paragraphedeliste"/>
        <w:numPr>
          <w:ilvl w:val="0"/>
          <w:numId w:val="16"/>
        </w:numPr>
        <w:spacing w:after="120"/>
        <w:ind w:left="425" w:hanging="425"/>
        <w:jc w:val="both"/>
        <w:rPr>
          <w:rFonts w:asciiTheme="minorHAnsi" w:hAnsiTheme="minorHAnsi" w:cs="Arial"/>
          <w:lang w:val="fr-FR"/>
        </w:rPr>
      </w:pPr>
      <w:r w:rsidRPr="00D93D8D">
        <w:rPr>
          <w:rFonts w:asciiTheme="minorHAnsi" w:hAnsiTheme="minorHAnsi" w:cs="Arial"/>
          <w:b/>
          <w:lang w:val="fr-FR"/>
        </w:rPr>
        <w:t xml:space="preserve">Une gestion partagée </w:t>
      </w:r>
      <w:r w:rsidRPr="00D93D8D">
        <w:rPr>
          <w:rFonts w:asciiTheme="minorHAnsi" w:hAnsiTheme="minorHAnsi" w:cs="Arial"/>
          <w:lang w:val="fr-FR"/>
        </w:rPr>
        <w:t>entre la Commission européenne d’un côté et les États membres et les régions de l’autre doit être conservée pour la mise en œuvre de la PC</w:t>
      </w:r>
      <w:r w:rsidR="002017E6" w:rsidRPr="00D93D8D">
        <w:rPr>
          <w:rFonts w:asciiTheme="minorHAnsi" w:hAnsiTheme="minorHAnsi" w:cs="Arial"/>
          <w:lang w:val="fr-FR"/>
        </w:rPr>
        <w:t>, avec des</w:t>
      </w:r>
      <w:r w:rsidR="00102867" w:rsidRPr="00D93D8D">
        <w:rPr>
          <w:rFonts w:asciiTheme="minorHAnsi" w:hAnsiTheme="minorHAnsi" w:cs="Arial"/>
          <w:lang w:val="fr-FR"/>
        </w:rPr>
        <w:t xml:space="preserve"> </w:t>
      </w:r>
      <w:r w:rsidR="008102AD" w:rsidRPr="00D93D8D">
        <w:rPr>
          <w:rFonts w:asciiTheme="minorHAnsi" w:hAnsiTheme="minorHAnsi" w:cs="Arial"/>
          <w:lang w:val="fr-FR"/>
        </w:rPr>
        <w:t xml:space="preserve">responsabilités </w:t>
      </w:r>
      <w:r w:rsidR="002017E6" w:rsidRPr="00D93D8D">
        <w:rPr>
          <w:rFonts w:asciiTheme="minorHAnsi" w:hAnsiTheme="minorHAnsi" w:cs="Arial"/>
          <w:lang w:val="fr-FR"/>
        </w:rPr>
        <w:t>clairement définies</w:t>
      </w:r>
      <w:r w:rsidR="00102867" w:rsidRPr="00D93D8D">
        <w:rPr>
          <w:rFonts w:asciiTheme="minorHAnsi" w:hAnsiTheme="minorHAnsi" w:cs="Arial"/>
          <w:lang w:val="fr-FR"/>
        </w:rPr>
        <w:t xml:space="preserve">. </w:t>
      </w:r>
      <w:r w:rsidR="004813AF" w:rsidRPr="00D93D8D">
        <w:rPr>
          <w:rFonts w:asciiTheme="minorHAnsi" w:hAnsiTheme="minorHAnsi" w:cs="Arial"/>
          <w:lang w:val="fr-FR"/>
        </w:rPr>
        <w:t>La gestion directe par la Commission européenne ne devrait intervenir qu’à titre exceptionnel</w:t>
      </w:r>
      <w:r w:rsidR="00D01B34" w:rsidRPr="00D93D8D">
        <w:rPr>
          <w:rFonts w:asciiTheme="minorHAnsi" w:hAnsiTheme="minorHAnsi" w:cs="Arial"/>
          <w:lang w:val="fr-FR"/>
        </w:rPr>
        <w:t>.</w:t>
      </w:r>
    </w:p>
    <w:p w:rsidR="00D01B34" w:rsidRPr="00D93D8D" w:rsidRDefault="007E0913" w:rsidP="004D009B">
      <w:pPr>
        <w:pStyle w:val="Paragraphedeliste"/>
        <w:numPr>
          <w:ilvl w:val="0"/>
          <w:numId w:val="16"/>
        </w:numPr>
        <w:spacing w:after="120"/>
        <w:ind w:left="425" w:hanging="425"/>
        <w:jc w:val="both"/>
        <w:rPr>
          <w:rFonts w:asciiTheme="minorHAnsi" w:hAnsiTheme="minorHAnsi" w:cs="Arial"/>
          <w:lang w:val="fr-FR"/>
        </w:rPr>
      </w:pPr>
      <w:r w:rsidRPr="00D93D8D">
        <w:rPr>
          <w:rFonts w:asciiTheme="minorHAnsi" w:hAnsiTheme="minorHAnsi" w:cs="Arial"/>
          <w:lang w:val="fr-FR"/>
        </w:rPr>
        <w:t xml:space="preserve">Les régions souhaitent se concentrer sur les effets concrets d’une </w:t>
      </w:r>
      <w:r w:rsidRPr="00D93D8D">
        <w:rPr>
          <w:rFonts w:asciiTheme="minorHAnsi" w:hAnsiTheme="minorHAnsi" w:cs="Arial"/>
          <w:b/>
          <w:bCs/>
          <w:lang w:val="fr-FR"/>
        </w:rPr>
        <w:t xml:space="preserve">PC </w:t>
      </w:r>
      <w:r w:rsidR="009772C2">
        <w:rPr>
          <w:rFonts w:asciiTheme="minorHAnsi" w:hAnsiTheme="minorHAnsi" w:cs="Arial"/>
          <w:b/>
          <w:bCs/>
          <w:lang w:val="fr-FR"/>
        </w:rPr>
        <w:t>fondée</w:t>
      </w:r>
      <w:r w:rsidR="009772C2" w:rsidRPr="00D93D8D">
        <w:rPr>
          <w:rFonts w:asciiTheme="minorHAnsi" w:hAnsiTheme="minorHAnsi" w:cs="Arial"/>
          <w:b/>
          <w:bCs/>
          <w:lang w:val="fr-FR"/>
        </w:rPr>
        <w:t xml:space="preserve"> </w:t>
      </w:r>
      <w:r w:rsidRPr="00D93D8D">
        <w:rPr>
          <w:rFonts w:asciiTheme="minorHAnsi" w:hAnsiTheme="minorHAnsi" w:cs="Arial"/>
          <w:b/>
          <w:bCs/>
          <w:lang w:val="fr-FR"/>
        </w:rPr>
        <w:t>sur les résultats</w:t>
      </w:r>
      <w:r w:rsidR="001D180D" w:rsidRPr="00D93D8D">
        <w:rPr>
          <w:rFonts w:asciiTheme="minorHAnsi" w:hAnsiTheme="minorHAnsi" w:cs="Arial"/>
          <w:lang w:val="fr-FR"/>
        </w:rPr>
        <w:t xml:space="preserve">. </w:t>
      </w:r>
      <w:r w:rsidRPr="00D93D8D">
        <w:rPr>
          <w:rFonts w:asciiTheme="minorHAnsi" w:hAnsiTheme="minorHAnsi" w:cs="Arial"/>
          <w:lang w:val="fr-FR"/>
        </w:rPr>
        <w:t>L’accent doit être mis sur les objectifs stratégiques plutôt que sur les procédures de mise en œuvre permettant de les atteindre</w:t>
      </w:r>
      <w:r w:rsidR="00D01B34" w:rsidRPr="00D93D8D">
        <w:rPr>
          <w:rFonts w:asciiTheme="minorHAnsi" w:hAnsiTheme="minorHAnsi" w:cs="Arial"/>
          <w:lang w:val="fr-FR"/>
        </w:rPr>
        <w:t>.</w:t>
      </w:r>
    </w:p>
    <w:p w:rsidR="0083711D" w:rsidRPr="00D93D8D" w:rsidRDefault="0083711D" w:rsidP="0083711D">
      <w:pPr>
        <w:rPr>
          <w:rStyle w:val="Accentuation"/>
          <w:i w:val="0"/>
          <w:iCs w:val="0"/>
          <w:lang w:val="fr-FR"/>
        </w:rPr>
      </w:pPr>
    </w:p>
    <w:p w:rsidR="0083711D" w:rsidRPr="00D93D8D" w:rsidRDefault="0083711D" w:rsidP="0083711D">
      <w:pPr>
        <w:pStyle w:val="Paragraphedeliste"/>
        <w:tabs>
          <w:tab w:val="left" w:pos="426"/>
        </w:tabs>
        <w:autoSpaceDE w:val="0"/>
        <w:autoSpaceDN w:val="0"/>
        <w:adjustRightInd w:val="0"/>
        <w:spacing w:after="120"/>
        <w:ind w:left="0"/>
        <w:contextualSpacing w:val="0"/>
        <w:jc w:val="both"/>
        <w:rPr>
          <w:rFonts w:asciiTheme="minorHAnsi" w:hAnsiTheme="minorHAnsi" w:cs="Arial"/>
          <w:b/>
          <w:i/>
          <w:lang w:val="fr-FR"/>
        </w:rPr>
      </w:pPr>
      <w:r w:rsidRPr="00D93D8D">
        <w:rPr>
          <w:rFonts w:asciiTheme="minorHAnsi" w:hAnsiTheme="minorHAnsi" w:cs="Arial"/>
          <w:b/>
          <w:i/>
          <w:lang w:val="fr-FR"/>
        </w:rPr>
        <w:t>Simplification</w:t>
      </w:r>
    </w:p>
    <w:p w:rsidR="0083711D" w:rsidRPr="00D93D8D" w:rsidRDefault="0083711D" w:rsidP="0083711D">
      <w:pPr>
        <w:pStyle w:val="Paragraphedeliste"/>
        <w:numPr>
          <w:ilvl w:val="0"/>
          <w:numId w:val="2"/>
        </w:numPr>
        <w:tabs>
          <w:tab w:val="left" w:pos="426"/>
        </w:tabs>
        <w:autoSpaceDE w:val="0"/>
        <w:autoSpaceDN w:val="0"/>
        <w:adjustRightInd w:val="0"/>
        <w:spacing w:after="120"/>
        <w:contextualSpacing w:val="0"/>
        <w:jc w:val="both"/>
        <w:rPr>
          <w:rFonts w:asciiTheme="minorHAnsi" w:hAnsiTheme="minorHAnsi" w:cs="Arial"/>
          <w:lang w:val="fr-FR"/>
        </w:rPr>
      </w:pPr>
      <w:r w:rsidRPr="00D93D8D">
        <w:rPr>
          <w:rFonts w:asciiTheme="minorHAnsi" w:hAnsiTheme="minorHAnsi" w:cs="Arial"/>
          <w:lang w:val="fr-FR"/>
        </w:rPr>
        <w:t xml:space="preserve">Un </w:t>
      </w:r>
      <w:r w:rsidRPr="00D93D8D">
        <w:rPr>
          <w:rFonts w:asciiTheme="minorHAnsi" w:hAnsiTheme="minorHAnsi" w:cs="Arial"/>
          <w:b/>
          <w:lang w:val="fr-FR"/>
        </w:rPr>
        <w:t>environnement juridique stable</w:t>
      </w:r>
      <w:r w:rsidRPr="00D93D8D">
        <w:rPr>
          <w:rFonts w:asciiTheme="minorHAnsi" w:hAnsiTheme="minorHAnsi" w:cs="Arial"/>
          <w:lang w:val="fr-FR"/>
        </w:rPr>
        <w:t xml:space="preserve"> durant et entre les périodes de programmation est nécessaire pour garantir le bon fonctionnement des systèmes de gestion et de contrôle. Toute application rétroactive des règles et lignes directrices doit être évitée, en particulier pour les audits et les contrôles. Les règles et procédures des différents programmes et instruments européens doivent être harmonisées et simplifiées dans le cadre de la PC. </w:t>
      </w:r>
    </w:p>
    <w:p w:rsidR="0083711D" w:rsidRPr="00D93D8D" w:rsidRDefault="0083711D" w:rsidP="0083711D">
      <w:pPr>
        <w:pStyle w:val="Paragraphedeliste"/>
        <w:numPr>
          <w:ilvl w:val="0"/>
          <w:numId w:val="2"/>
        </w:numPr>
        <w:tabs>
          <w:tab w:val="left" w:pos="426"/>
        </w:tabs>
        <w:autoSpaceDE w:val="0"/>
        <w:autoSpaceDN w:val="0"/>
        <w:adjustRightInd w:val="0"/>
        <w:spacing w:after="120"/>
        <w:ind w:left="426" w:hanging="426"/>
        <w:contextualSpacing w:val="0"/>
        <w:jc w:val="both"/>
        <w:rPr>
          <w:rFonts w:asciiTheme="minorHAnsi" w:hAnsiTheme="minorHAnsi"/>
          <w:lang w:val="fr-FR"/>
        </w:rPr>
      </w:pPr>
      <w:r w:rsidRPr="00D93D8D">
        <w:rPr>
          <w:rFonts w:asciiTheme="minorHAnsi" w:hAnsiTheme="minorHAnsi"/>
          <w:lang w:val="fr-FR"/>
        </w:rPr>
        <w:t xml:space="preserve">Les régions sont favorables à la simplification du système d’audit et de contrôle. Le </w:t>
      </w:r>
      <w:r w:rsidRPr="00D93D8D">
        <w:rPr>
          <w:rFonts w:asciiTheme="minorHAnsi" w:hAnsiTheme="minorHAnsi"/>
          <w:b/>
          <w:lang w:val="fr-FR"/>
        </w:rPr>
        <w:t xml:space="preserve">« principe </w:t>
      </w:r>
      <w:r w:rsidR="00A768C8">
        <w:rPr>
          <w:rFonts w:asciiTheme="minorHAnsi" w:hAnsiTheme="minorHAnsi"/>
          <w:b/>
          <w:lang w:val="fr-FR"/>
        </w:rPr>
        <w:t>de l’audit</w:t>
      </w:r>
      <w:r w:rsidRPr="00D93D8D">
        <w:rPr>
          <w:rFonts w:asciiTheme="minorHAnsi" w:hAnsiTheme="minorHAnsi"/>
          <w:b/>
          <w:lang w:val="fr-FR"/>
        </w:rPr>
        <w:t xml:space="preserve"> unique » </w:t>
      </w:r>
      <w:r w:rsidRPr="00D93D8D">
        <w:rPr>
          <w:rFonts w:asciiTheme="minorHAnsi" w:hAnsiTheme="minorHAnsi"/>
          <w:lang w:val="fr-FR"/>
        </w:rPr>
        <w:t xml:space="preserve">devrait être reconnu et appliqué par tous les organismes d’audit. </w:t>
      </w:r>
    </w:p>
    <w:p w:rsidR="0083711D" w:rsidRPr="00D93D8D" w:rsidRDefault="0083711D" w:rsidP="0083711D">
      <w:pPr>
        <w:pStyle w:val="Paragraphedeliste"/>
        <w:numPr>
          <w:ilvl w:val="0"/>
          <w:numId w:val="2"/>
        </w:numPr>
        <w:tabs>
          <w:tab w:val="left" w:pos="426"/>
        </w:tabs>
        <w:autoSpaceDE w:val="0"/>
        <w:autoSpaceDN w:val="0"/>
        <w:adjustRightInd w:val="0"/>
        <w:spacing w:after="120"/>
        <w:ind w:left="426" w:hanging="426"/>
        <w:contextualSpacing w:val="0"/>
        <w:jc w:val="both"/>
        <w:rPr>
          <w:rFonts w:asciiTheme="minorHAnsi" w:hAnsiTheme="minorHAnsi"/>
          <w:lang w:val="fr-FR"/>
        </w:rPr>
      </w:pPr>
      <w:r w:rsidRPr="00D93D8D">
        <w:rPr>
          <w:rFonts w:asciiTheme="minorHAnsi" w:hAnsiTheme="minorHAnsi" w:cs="Arial"/>
          <w:b/>
          <w:lang w:val="fr-FR"/>
        </w:rPr>
        <w:lastRenderedPageBreak/>
        <w:t xml:space="preserve">Les règles applicables aux aides d’État devraient être harmonisées pour toutes les politiques de l’Union européenne. </w:t>
      </w:r>
      <w:r w:rsidRPr="00D93D8D">
        <w:rPr>
          <w:rFonts w:asciiTheme="minorHAnsi" w:hAnsiTheme="minorHAnsi" w:cs="Arial"/>
          <w:lang w:val="fr-FR"/>
        </w:rPr>
        <w:t xml:space="preserve">Conformément au principe de l’égalité de traitement, les projets financés par la PC ne devraient pas faire l’objet de davantage de restrictions que les projets similaires </w:t>
      </w:r>
      <w:r w:rsidR="00A768C8">
        <w:rPr>
          <w:rFonts w:asciiTheme="minorHAnsi" w:hAnsiTheme="minorHAnsi" w:cs="Arial"/>
          <w:lang w:val="fr-FR"/>
        </w:rPr>
        <w:t>cofinancés</w:t>
      </w:r>
      <w:r w:rsidR="00A768C8" w:rsidRPr="00D93D8D">
        <w:rPr>
          <w:rFonts w:asciiTheme="minorHAnsi" w:hAnsiTheme="minorHAnsi" w:cs="Arial"/>
          <w:lang w:val="fr-FR"/>
        </w:rPr>
        <w:t xml:space="preserve"> </w:t>
      </w:r>
      <w:r w:rsidRPr="00D93D8D">
        <w:rPr>
          <w:rFonts w:asciiTheme="minorHAnsi" w:hAnsiTheme="minorHAnsi" w:cs="Arial"/>
          <w:lang w:val="fr-FR"/>
        </w:rPr>
        <w:t xml:space="preserve">par des programmes </w:t>
      </w:r>
      <w:r w:rsidR="00A768C8">
        <w:rPr>
          <w:rFonts w:asciiTheme="minorHAnsi" w:hAnsiTheme="minorHAnsi" w:cs="Arial"/>
          <w:lang w:val="fr-FR"/>
        </w:rPr>
        <w:t>en</w:t>
      </w:r>
      <w:r w:rsidR="00A768C8" w:rsidRPr="00D93D8D">
        <w:rPr>
          <w:rFonts w:asciiTheme="minorHAnsi" w:hAnsiTheme="minorHAnsi" w:cs="Arial"/>
          <w:lang w:val="fr-FR"/>
        </w:rPr>
        <w:t xml:space="preserve"> </w:t>
      </w:r>
      <w:r w:rsidRPr="00D93D8D">
        <w:rPr>
          <w:rFonts w:asciiTheme="minorHAnsi" w:hAnsiTheme="minorHAnsi" w:cs="Arial"/>
          <w:lang w:val="fr-FR"/>
        </w:rPr>
        <w:t>gestion directe.</w:t>
      </w:r>
    </w:p>
    <w:p w:rsidR="0083711D" w:rsidRPr="00D93D8D" w:rsidRDefault="0083711D" w:rsidP="0083711D">
      <w:pPr>
        <w:rPr>
          <w:rFonts w:asciiTheme="minorHAnsi" w:hAnsiTheme="minorHAnsi" w:cs="Arial"/>
          <w:b/>
          <w:i/>
          <w:lang w:val="fr-FR"/>
        </w:rPr>
      </w:pPr>
    </w:p>
    <w:p w:rsidR="0083711D" w:rsidRPr="00D93D8D" w:rsidRDefault="00111389" w:rsidP="0083711D">
      <w:pPr>
        <w:tabs>
          <w:tab w:val="left" w:pos="426"/>
        </w:tabs>
        <w:autoSpaceDE w:val="0"/>
        <w:autoSpaceDN w:val="0"/>
        <w:adjustRightInd w:val="0"/>
        <w:spacing w:after="120"/>
        <w:jc w:val="both"/>
        <w:rPr>
          <w:rFonts w:asciiTheme="minorHAnsi" w:hAnsiTheme="minorHAnsi" w:cs="Arial"/>
          <w:b/>
          <w:i/>
          <w:lang w:val="fr-FR"/>
        </w:rPr>
      </w:pPr>
      <w:r>
        <w:rPr>
          <w:rFonts w:asciiTheme="minorHAnsi" w:hAnsiTheme="minorHAnsi" w:cs="Arial"/>
          <w:b/>
          <w:i/>
          <w:lang w:val="fr-FR"/>
        </w:rPr>
        <w:t>C</w:t>
      </w:r>
      <w:r w:rsidR="0083711D" w:rsidRPr="00D93D8D">
        <w:rPr>
          <w:rFonts w:asciiTheme="minorHAnsi" w:hAnsiTheme="minorHAnsi" w:cs="Arial"/>
          <w:b/>
          <w:i/>
          <w:lang w:val="fr-FR"/>
        </w:rPr>
        <w:t>ondition</w:t>
      </w:r>
      <w:r w:rsidR="003B2629" w:rsidRPr="00D93D8D">
        <w:rPr>
          <w:rFonts w:asciiTheme="minorHAnsi" w:hAnsiTheme="minorHAnsi" w:cs="Arial"/>
          <w:b/>
          <w:i/>
          <w:lang w:val="fr-FR"/>
        </w:rPr>
        <w:t>n</w:t>
      </w:r>
      <w:r w:rsidR="0083711D" w:rsidRPr="00D93D8D">
        <w:rPr>
          <w:rFonts w:asciiTheme="minorHAnsi" w:hAnsiTheme="minorHAnsi" w:cs="Arial"/>
          <w:b/>
          <w:i/>
          <w:lang w:val="fr-FR"/>
        </w:rPr>
        <w:t>alité</w:t>
      </w:r>
      <w:r>
        <w:rPr>
          <w:rFonts w:asciiTheme="minorHAnsi" w:hAnsiTheme="minorHAnsi" w:cs="Arial"/>
          <w:b/>
          <w:i/>
          <w:lang w:val="fr-FR"/>
        </w:rPr>
        <w:t>s</w:t>
      </w:r>
      <w:r w:rsidR="0083711D" w:rsidRPr="00D93D8D">
        <w:rPr>
          <w:rFonts w:asciiTheme="minorHAnsi" w:hAnsiTheme="minorHAnsi" w:cs="Arial"/>
          <w:b/>
          <w:i/>
          <w:lang w:val="fr-FR"/>
        </w:rPr>
        <w:t xml:space="preserve"> </w:t>
      </w:r>
    </w:p>
    <w:p w:rsidR="0083711D" w:rsidRPr="00D93D8D" w:rsidRDefault="0083711D" w:rsidP="0083711D">
      <w:pPr>
        <w:pStyle w:val="Paragraphedeliste"/>
        <w:numPr>
          <w:ilvl w:val="0"/>
          <w:numId w:val="2"/>
        </w:numPr>
        <w:tabs>
          <w:tab w:val="left" w:pos="426"/>
        </w:tabs>
        <w:autoSpaceDE w:val="0"/>
        <w:autoSpaceDN w:val="0"/>
        <w:adjustRightInd w:val="0"/>
        <w:spacing w:after="120"/>
        <w:ind w:left="426" w:hanging="426"/>
        <w:contextualSpacing w:val="0"/>
        <w:jc w:val="both"/>
        <w:rPr>
          <w:rFonts w:asciiTheme="minorHAnsi" w:hAnsiTheme="minorHAnsi" w:cs="Arial"/>
          <w:lang w:val="fr-FR"/>
        </w:rPr>
      </w:pPr>
      <w:r w:rsidRPr="00D93D8D">
        <w:rPr>
          <w:rFonts w:asciiTheme="minorHAnsi" w:hAnsiTheme="minorHAnsi" w:cs="Arial"/>
          <w:lang w:val="fr-FR"/>
        </w:rPr>
        <w:t xml:space="preserve">Les régions reconnaissent qu’appuyer les réformes structurelles essentielles en renforçant le lien entre le </w:t>
      </w:r>
      <w:r w:rsidRPr="00D93D8D">
        <w:rPr>
          <w:rFonts w:asciiTheme="minorHAnsi" w:hAnsiTheme="minorHAnsi" w:cs="Arial"/>
          <w:b/>
          <w:lang w:val="fr-FR"/>
        </w:rPr>
        <w:t xml:space="preserve">Semestre européen </w:t>
      </w:r>
      <w:r w:rsidRPr="00D93D8D">
        <w:rPr>
          <w:rFonts w:asciiTheme="minorHAnsi" w:hAnsiTheme="minorHAnsi" w:cs="Arial"/>
          <w:lang w:val="fr-FR"/>
        </w:rPr>
        <w:t>et les Fonds ESI peut être approprié, dans certaines circonstances et dans le respect strict des compétences des États membres et des régions.</w:t>
      </w:r>
    </w:p>
    <w:p w:rsidR="0083711D" w:rsidRPr="00D93D8D" w:rsidRDefault="0083711D" w:rsidP="0083711D">
      <w:pPr>
        <w:pStyle w:val="Paragraphedeliste"/>
        <w:numPr>
          <w:ilvl w:val="0"/>
          <w:numId w:val="2"/>
        </w:numPr>
        <w:tabs>
          <w:tab w:val="left" w:pos="426"/>
        </w:tabs>
        <w:autoSpaceDE w:val="0"/>
        <w:autoSpaceDN w:val="0"/>
        <w:adjustRightInd w:val="0"/>
        <w:spacing w:after="120"/>
        <w:ind w:left="426" w:hanging="426"/>
        <w:contextualSpacing w:val="0"/>
        <w:jc w:val="both"/>
        <w:rPr>
          <w:rFonts w:asciiTheme="minorHAnsi" w:hAnsiTheme="minorHAnsi" w:cs="Arial"/>
          <w:lang w:val="fr-FR"/>
        </w:rPr>
      </w:pPr>
      <w:r w:rsidRPr="00D93D8D">
        <w:rPr>
          <w:rFonts w:asciiTheme="minorHAnsi" w:hAnsiTheme="minorHAnsi" w:cs="Arial"/>
          <w:bCs/>
          <w:lang w:val="fr-FR"/>
        </w:rPr>
        <w:t>Conformément aux</w:t>
      </w:r>
      <w:r w:rsidRPr="00D93D8D">
        <w:rPr>
          <w:rFonts w:asciiTheme="minorHAnsi" w:hAnsiTheme="minorHAnsi" w:cs="Arial"/>
          <w:b/>
          <w:lang w:val="fr-FR"/>
        </w:rPr>
        <w:t xml:space="preserve"> </w:t>
      </w:r>
      <w:r w:rsidRPr="00D93D8D">
        <w:rPr>
          <w:rFonts w:asciiTheme="minorHAnsi" w:hAnsiTheme="minorHAnsi" w:cs="Arial"/>
          <w:lang w:val="fr-FR"/>
        </w:rPr>
        <w:t>procédures de transparence,</w:t>
      </w:r>
      <w:r w:rsidRPr="00D93D8D">
        <w:rPr>
          <w:rFonts w:asciiTheme="minorHAnsi" w:hAnsiTheme="minorHAnsi" w:cs="Arial"/>
          <w:b/>
          <w:lang w:val="fr-FR"/>
        </w:rPr>
        <w:t xml:space="preserve"> les</w:t>
      </w:r>
      <w:r w:rsidRPr="00D93D8D">
        <w:rPr>
          <w:rFonts w:asciiTheme="minorHAnsi" w:hAnsiTheme="minorHAnsi" w:cs="Arial"/>
          <w:b/>
          <w:i/>
          <w:lang w:val="fr-FR"/>
        </w:rPr>
        <w:t xml:space="preserve"> </w:t>
      </w:r>
      <w:r w:rsidRPr="00D93D8D">
        <w:rPr>
          <w:rFonts w:asciiTheme="minorHAnsi" w:hAnsiTheme="minorHAnsi" w:cs="Arial"/>
          <w:b/>
          <w:lang w:val="fr-FR"/>
        </w:rPr>
        <w:t xml:space="preserve">conditions </w:t>
      </w:r>
      <w:r w:rsidRPr="00D93D8D">
        <w:rPr>
          <w:rFonts w:asciiTheme="minorHAnsi" w:hAnsiTheme="minorHAnsi" w:cs="Arial"/>
          <w:b/>
          <w:i/>
          <w:lang w:val="fr-FR"/>
        </w:rPr>
        <w:t>ex ante</w:t>
      </w:r>
      <w:r w:rsidRPr="00D93D8D">
        <w:rPr>
          <w:rFonts w:asciiTheme="minorHAnsi" w:hAnsiTheme="minorHAnsi" w:cs="Arial"/>
          <w:lang w:val="fr-FR"/>
        </w:rPr>
        <w:t xml:space="preserve"> doivent être connues suffisamment à l’avance, </w:t>
      </w:r>
      <w:r w:rsidR="003B2629" w:rsidRPr="00D93D8D">
        <w:rPr>
          <w:rFonts w:asciiTheme="minorHAnsi" w:hAnsiTheme="minorHAnsi" w:cs="Arial"/>
          <w:lang w:val="fr-FR"/>
        </w:rPr>
        <w:t xml:space="preserve">vérifiables et </w:t>
      </w:r>
      <w:r w:rsidRPr="00D93D8D">
        <w:rPr>
          <w:rFonts w:asciiTheme="minorHAnsi" w:hAnsiTheme="minorHAnsi" w:cs="Arial"/>
          <w:lang w:val="fr-FR"/>
        </w:rPr>
        <w:t xml:space="preserve">sans ambiguïté. La responsabilité du respect des conditions </w:t>
      </w:r>
      <w:r w:rsidRPr="00D93D8D">
        <w:rPr>
          <w:rFonts w:asciiTheme="minorHAnsi" w:hAnsiTheme="minorHAnsi" w:cs="Arial"/>
          <w:i/>
          <w:lang w:val="fr-FR"/>
        </w:rPr>
        <w:t>ex ante</w:t>
      </w:r>
      <w:r w:rsidRPr="00D93D8D">
        <w:rPr>
          <w:rFonts w:asciiTheme="minorHAnsi" w:hAnsiTheme="minorHAnsi" w:cs="Arial"/>
          <w:lang w:val="fr-FR"/>
        </w:rPr>
        <w:t xml:space="preserve"> devrait incomber aux seules autorités de gestion.</w:t>
      </w:r>
    </w:p>
    <w:p w:rsidR="0083711D" w:rsidRPr="00D93D8D" w:rsidRDefault="0083711D" w:rsidP="0083711D">
      <w:pPr>
        <w:pStyle w:val="Paragraphedeliste"/>
        <w:numPr>
          <w:ilvl w:val="0"/>
          <w:numId w:val="2"/>
        </w:numPr>
        <w:tabs>
          <w:tab w:val="left" w:pos="426"/>
        </w:tabs>
        <w:autoSpaceDE w:val="0"/>
        <w:autoSpaceDN w:val="0"/>
        <w:adjustRightInd w:val="0"/>
        <w:spacing w:after="120"/>
        <w:ind w:left="426" w:hanging="426"/>
        <w:contextualSpacing w:val="0"/>
        <w:jc w:val="both"/>
        <w:rPr>
          <w:rFonts w:asciiTheme="minorHAnsi" w:hAnsiTheme="minorHAnsi" w:cs="Arial"/>
          <w:lang w:val="fr-FR"/>
        </w:rPr>
      </w:pPr>
      <w:r w:rsidRPr="00D93D8D">
        <w:rPr>
          <w:rFonts w:asciiTheme="minorHAnsi" w:hAnsiTheme="minorHAnsi" w:cs="Arial"/>
          <w:b/>
          <w:lang w:val="fr-FR"/>
        </w:rPr>
        <w:t xml:space="preserve">La conditionnalité macroéconomique </w:t>
      </w:r>
      <w:r w:rsidRPr="00D93D8D">
        <w:rPr>
          <w:rFonts w:asciiTheme="minorHAnsi" w:hAnsiTheme="minorHAnsi" w:cs="Arial"/>
          <w:lang w:val="fr-FR"/>
        </w:rPr>
        <w:t>ne</w:t>
      </w:r>
      <w:r w:rsidRPr="00D93D8D">
        <w:rPr>
          <w:rFonts w:asciiTheme="minorHAnsi" w:hAnsiTheme="minorHAnsi" w:cs="Arial"/>
          <w:b/>
          <w:lang w:val="fr-FR"/>
        </w:rPr>
        <w:t xml:space="preserve"> </w:t>
      </w:r>
      <w:r w:rsidRPr="00D93D8D">
        <w:rPr>
          <w:rFonts w:asciiTheme="minorHAnsi" w:hAnsiTheme="minorHAnsi" w:cs="Arial"/>
          <w:lang w:val="fr-FR"/>
        </w:rPr>
        <w:t>peut constituer un critère d’éligibilité pour bénéficier d’un financement.</w:t>
      </w:r>
    </w:p>
    <w:p w:rsidR="0083711D" w:rsidRPr="00D93D8D" w:rsidRDefault="0083711D" w:rsidP="0083711D">
      <w:pPr>
        <w:spacing w:after="120"/>
        <w:jc w:val="both"/>
        <w:rPr>
          <w:rFonts w:asciiTheme="minorHAnsi" w:hAnsiTheme="minorHAnsi" w:cs="Arial"/>
          <w:lang w:val="fr-FR"/>
        </w:rPr>
      </w:pPr>
    </w:p>
    <w:p w:rsidR="0083711D" w:rsidRPr="00D93D8D" w:rsidRDefault="0083711D" w:rsidP="0083711D">
      <w:pPr>
        <w:spacing w:after="120"/>
        <w:jc w:val="both"/>
        <w:rPr>
          <w:rFonts w:asciiTheme="minorHAnsi" w:hAnsiTheme="minorHAnsi" w:cs="Arial"/>
          <w:lang w:val="fr-FR"/>
        </w:rPr>
      </w:pPr>
      <w:r w:rsidRPr="00D93D8D">
        <w:rPr>
          <w:rFonts w:asciiTheme="minorHAnsi" w:hAnsiTheme="minorHAnsi" w:cs="Arial"/>
          <w:b/>
          <w:i/>
          <w:lang w:val="fr-FR"/>
        </w:rPr>
        <w:t>Champ d’action</w:t>
      </w:r>
      <w:r w:rsidR="009772C2">
        <w:rPr>
          <w:rFonts w:asciiTheme="minorHAnsi" w:hAnsiTheme="minorHAnsi" w:cs="Arial"/>
          <w:b/>
          <w:i/>
          <w:lang w:val="fr-FR"/>
        </w:rPr>
        <w:t>s</w:t>
      </w:r>
      <w:r w:rsidRPr="00D93D8D">
        <w:rPr>
          <w:rFonts w:asciiTheme="minorHAnsi" w:hAnsiTheme="minorHAnsi" w:cs="Arial"/>
          <w:b/>
          <w:i/>
          <w:lang w:val="fr-FR"/>
        </w:rPr>
        <w:t xml:space="preserve"> du FEDER et du FSE</w:t>
      </w:r>
    </w:p>
    <w:p w:rsidR="0083711D" w:rsidRPr="00D93D8D" w:rsidRDefault="0083711D" w:rsidP="0083711D">
      <w:pPr>
        <w:pStyle w:val="Paragraphedeliste"/>
        <w:numPr>
          <w:ilvl w:val="0"/>
          <w:numId w:val="2"/>
        </w:numPr>
        <w:tabs>
          <w:tab w:val="left" w:pos="426"/>
        </w:tabs>
        <w:autoSpaceDE w:val="0"/>
        <w:autoSpaceDN w:val="0"/>
        <w:adjustRightInd w:val="0"/>
        <w:spacing w:after="120"/>
        <w:contextualSpacing w:val="0"/>
        <w:jc w:val="both"/>
        <w:rPr>
          <w:rFonts w:asciiTheme="minorHAnsi" w:hAnsiTheme="minorHAnsi" w:cs="Arial"/>
          <w:lang w:val="fr-FR"/>
        </w:rPr>
      </w:pPr>
      <w:r w:rsidRPr="00D93D8D">
        <w:rPr>
          <w:rFonts w:asciiTheme="minorHAnsi" w:hAnsiTheme="minorHAnsi" w:cs="Arial"/>
          <w:b/>
          <w:lang w:val="fr-FR"/>
        </w:rPr>
        <w:t xml:space="preserve">La concentration thématique devrait être consolidée. </w:t>
      </w:r>
      <w:r w:rsidRPr="00D93D8D">
        <w:rPr>
          <w:rFonts w:asciiTheme="minorHAnsi" w:hAnsiTheme="minorHAnsi" w:cs="Arial"/>
          <w:lang w:val="fr-FR"/>
        </w:rPr>
        <w:t>Les</w:t>
      </w:r>
      <w:r w:rsidRPr="00D93D8D">
        <w:rPr>
          <w:rFonts w:asciiTheme="minorHAnsi" w:hAnsiTheme="minorHAnsi" w:cs="Arial"/>
          <w:b/>
          <w:lang w:val="fr-FR"/>
        </w:rPr>
        <w:t xml:space="preserve"> </w:t>
      </w:r>
      <w:r w:rsidRPr="00D93D8D">
        <w:rPr>
          <w:rFonts w:asciiTheme="minorHAnsi" w:hAnsiTheme="minorHAnsi" w:cs="Arial"/>
          <w:lang w:val="fr-FR"/>
        </w:rPr>
        <w:t xml:space="preserve">autorités de gestion devraient sélectionner moins de priorités </w:t>
      </w:r>
      <w:r w:rsidR="00A768C8">
        <w:rPr>
          <w:rFonts w:asciiTheme="minorHAnsi" w:hAnsiTheme="minorHAnsi" w:cs="Arial"/>
          <w:lang w:val="fr-FR"/>
        </w:rPr>
        <w:t xml:space="preserve">mais devraient décider de la répartition des fonds entre elles. </w:t>
      </w:r>
      <w:r w:rsidRPr="00D93D8D">
        <w:rPr>
          <w:rFonts w:asciiTheme="minorHAnsi" w:hAnsiTheme="minorHAnsi" w:cs="Arial"/>
          <w:lang w:val="fr-FR"/>
        </w:rPr>
        <w:t>Les programmes opérationnels (PO) devraient être de</w:t>
      </w:r>
      <w:r w:rsidR="00A768C8">
        <w:rPr>
          <w:rFonts w:asciiTheme="minorHAnsi" w:hAnsiTheme="minorHAnsi" w:cs="Arial"/>
          <w:lang w:val="fr-FR"/>
        </w:rPr>
        <w:t>s</w:t>
      </w:r>
      <w:r w:rsidRPr="00D93D8D">
        <w:rPr>
          <w:rFonts w:asciiTheme="minorHAnsi" w:hAnsiTheme="minorHAnsi" w:cs="Arial"/>
          <w:lang w:val="fr-FR"/>
        </w:rPr>
        <w:t xml:space="preserve"> feuilles de route stratégiques, avec une classification des dépenses moins détaillée, et plus faciles à modifier en fonction des changements de circonstances.</w:t>
      </w:r>
    </w:p>
    <w:p w:rsidR="0083711D" w:rsidRPr="00D93D8D" w:rsidRDefault="0083711D" w:rsidP="0083711D">
      <w:pPr>
        <w:pStyle w:val="Paragraphedeliste"/>
        <w:numPr>
          <w:ilvl w:val="0"/>
          <w:numId w:val="2"/>
        </w:numPr>
        <w:tabs>
          <w:tab w:val="left" w:pos="426"/>
        </w:tabs>
        <w:autoSpaceDE w:val="0"/>
        <w:autoSpaceDN w:val="0"/>
        <w:adjustRightInd w:val="0"/>
        <w:spacing w:after="120"/>
        <w:contextualSpacing w:val="0"/>
        <w:jc w:val="both"/>
        <w:rPr>
          <w:rFonts w:asciiTheme="minorHAnsi" w:hAnsiTheme="minorHAnsi" w:cs="Arial"/>
          <w:lang w:val="fr-FR"/>
        </w:rPr>
      </w:pPr>
      <w:r w:rsidRPr="00D93D8D">
        <w:rPr>
          <w:rFonts w:asciiTheme="minorHAnsi" w:hAnsiTheme="minorHAnsi" w:cs="Arial"/>
          <w:b/>
          <w:lang w:val="fr-FR"/>
        </w:rPr>
        <w:t>L’innovation</w:t>
      </w:r>
      <w:r w:rsidRPr="00D93D8D">
        <w:rPr>
          <w:rFonts w:asciiTheme="minorHAnsi" w:hAnsiTheme="minorHAnsi" w:cs="Arial"/>
          <w:lang w:val="fr-FR"/>
        </w:rPr>
        <w:t xml:space="preserve"> a une dimension territoriale évidente. Les Fonds devraient pouvoir servir à financer des mesures pilotes et expérimentales et à investir, notamment, dans les entreprises innovatrices risquées. </w:t>
      </w:r>
    </w:p>
    <w:p w:rsidR="0083711D" w:rsidRPr="00D93D8D" w:rsidRDefault="0083711D" w:rsidP="0083711D">
      <w:pPr>
        <w:pStyle w:val="Paragraphedeliste"/>
        <w:numPr>
          <w:ilvl w:val="0"/>
          <w:numId w:val="2"/>
        </w:numPr>
        <w:tabs>
          <w:tab w:val="left" w:pos="426"/>
        </w:tabs>
        <w:autoSpaceDE w:val="0"/>
        <w:autoSpaceDN w:val="0"/>
        <w:adjustRightInd w:val="0"/>
        <w:spacing w:after="120"/>
        <w:ind w:left="426" w:hanging="426"/>
        <w:contextualSpacing w:val="0"/>
        <w:jc w:val="both"/>
        <w:rPr>
          <w:rFonts w:asciiTheme="minorHAnsi" w:hAnsiTheme="minorHAnsi" w:cs="Arial"/>
          <w:b/>
          <w:lang w:val="fr-FR"/>
        </w:rPr>
      </w:pPr>
      <w:r w:rsidRPr="00D93D8D">
        <w:rPr>
          <w:rFonts w:asciiTheme="minorHAnsi" w:hAnsiTheme="minorHAnsi" w:cs="Arial"/>
          <w:b/>
          <w:lang w:val="fr-FR"/>
        </w:rPr>
        <w:t xml:space="preserve">La PC doit s’adapter davantage aux besoins régionaux </w:t>
      </w:r>
      <w:r w:rsidRPr="00D93D8D">
        <w:rPr>
          <w:rFonts w:asciiTheme="minorHAnsi" w:hAnsiTheme="minorHAnsi" w:cs="Arial"/>
          <w:lang w:val="fr-FR"/>
        </w:rPr>
        <w:t>en se concentrant sur les avantages concurrentiels des régions</w:t>
      </w:r>
      <w:r w:rsidR="00A768C8">
        <w:rPr>
          <w:rFonts w:asciiTheme="minorHAnsi" w:hAnsiTheme="minorHAnsi" w:cs="Arial"/>
          <w:lang w:val="fr-FR"/>
        </w:rPr>
        <w:t>,</w:t>
      </w:r>
      <w:r w:rsidRPr="00D93D8D">
        <w:rPr>
          <w:rFonts w:asciiTheme="minorHAnsi" w:hAnsiTheme="minorHAnsi" w:cs="Arial"/>
          <w:lang w:val="fr-FR"/>
        </w:rPr>
        <w:t xml:space="preserve"> identifiés </w:t>
      </w:r>
      <w:r w:rsidR="00A768C8">
        <w:rPr>
          <w:rFonts w:asciiTheme="minorHAnsi" w:hAnsiTheme="minorHAnsi" w:cs="Arial"/>
          <w:lang w:val="fr-FR"/>
        </w:rPr>
        <w:t>dans</w:t>
      </w:r>
      <w:r w:rsidR="00A768C8" w:rsidRPr="00D93D8D">
        <w:rPr>
          <w:rFonts w:asciiTheme="minorHAnsi" w:hAnsiTheme="minorHAnsi" w:cs="Arial"/>
          <w:lang w:val="fr-FR"/>
        </w:rPr>
        <w:t xml:space="preserve"> </w:t>
      </w:r>
      <w:r w:rsidRPr="00D93D8D">
        <w:rPr>
          <w:rFonts w:asciiTheme="minorHAnsi" w:hAnsiTheme="minorHAnsi" w:cs="Arial"/>
          <w:lang w:val="fr-FR"/>
        </w:rPr>
        <w:t xml:space="preserve">les stratégies d’innovation </w:t>
      </w:r>
      <w:r w:rsidRPr="00D93D8D">
        <w:rPr>
          <w:rFonts w:asciiTheme="minorHAnsi" w:hAnsiTheme="minorHAnsi" w:cs="Arial"/>
          <w:b/>
          <w:lang w:val="fr-FR"/>
        </w:rPr>
        <w:t>pour une spécialisation intelligente.</w:t>
      </w:r>
    </w:p>
    <w:p w:rsidR="0083711D" w:rsidRPr="00D93D8D" w:rsidRDefault="0083711D" w:rsidP="0083711D">
      <w:pPr>
        <w:pStyle w:val="Paragraphedeliste"/>
        <w:numPr>
          <w:ilvl w:val="0"/>
          <w:numId w:val="2"/>
        </w:numPr>
        <w:tabs>
          <w:tab w:val="left" w:pos="426"/>
        </w:tabs>
        <w:autoSpaceDE w:val="0"/>
        <w:autoSpaceDN w:val="0"/>
        <w:adjustRightInd w:val="0"/>
        <w:spacing w:after="120"/>
        <w:ind w:left="426" w:hanging="426"/>
        <w:contextualSpacing w:val="0"/>
        <w:jc w:val="both"/>
        <w:rPr>
          <w:rFonts w:asciiTheme="minorHAnsi" w:hAnsiTheme="minorHAnsi" w:cs="Arial"/>
          <w:lang w:val="fr-FR"/>
        </w:rPr>
      </w:pPr>
      <w:r w:rsidRPr="00D93D8D">
        <w:rPr>
          <w:rFonts w:asciiTheme="minorHAnsi" w:hAnsiTheme="minorHAnsi" w:cs="Arial"/>
          <w:b/>
          <w:lang w:val="fr-FR"/>
        </w:rPr>
        <w:t>Le Fonds social européen (FSE)</w:t>
      </w:r>
      <w:r w:rsidRPr="00D93D8D">
        <w:rPr>
          <w:rFonts w:asciiTheme="minorHAnsi" w:hAnsiTheme="minorHAnsi" w:cs="Arial"/>
          <w:lang w:val="fr-FR"/>
        </w:rPr>
        <w:t xml:space="preserve"> doit rester dans le cadre de la PC. C’est un instrument essentiel pour mettre en œuvre des politiques d’intervention adaptées aux besoins des marchés de l’emploi locaux et pour tirer profit des synergies créées avec les autres Fonds ESI. Les actions relatives aux compétences et au capital humain, tout comme celles en faveur de la recherche, de l’innovation et du développement local, sont complémentaires </w:t>
      </w:r>
      <w:r w:rsidR="009772C2">
        <w:rPr>
          <w:rFonts w:asciiTheme="minorHAnsi" w:hAnsiTheme="minorHAnsi" w:cs="Arial"/>
          <w:lang w:val="fr-FR"/>
        </w:rPr>
        <w:t>d’</w:t>
      </w:r>
      <w:r w:rsidRPr="00D93D8D">
        <w:rPr>
          <w:rFonts w:asciiTheme="minorHAnsi" w:hAnsiTheme="minorHAnsi" w:cs="Arial"/>
          <w:lang w:val="fr-FR"/>
        </w:rPr>
        <w:t>autres actions mises en œuvre à travers le FEDER.</w:t>
      </w:r>
    </w:p>
    <w:p w:rsidR="0083711D" w:rsidRPr="00D93D8D" w:rsidRDefault="0083711D" w:rsidP="0083711D">
      <w:pPr>
        <w:pStyle w:val="Paragraphedeliste"/>
        <w:numPr>
          <w:ilvl w:val="0"/>
          <w:numId w:val="2"/>
        </w:numPr>
        <w:tabs>
          <w:tab w:val="left" w:pos="426"/>
        </w:tabs>
        <w:autoSpaceDE w:val="0"/>
        <w:autoSpaceDN w:val="0"/>
        <w:adjustRightInd w:val="0"/>
        <w:spacing w:after="120"/>
        <w:ind w:left="426" w:hanging="426"/>
        <w:contextualSpacing w:val="0"/>
        <w:jc w:val="both"/>
        <w:rPr>
          <w:rFonts w:asciiTheme="minorHAnsi" w:hAnsiTheme="minorHAnsi" w:cs="Arial"/>
          <w:lang w:val="fr-FR"/>
        </w:rPr>
      </w:pPr>
      <w:r w:rsidRPr="00D93D8D">
        <w:rPr>
          <w:rFonts w:asciiTheme="minorHAnsi" w:hAnsiTheme="minorHAnsi" w:cs="Arial"/>
          <w:lang w:val="fr-FR"/>
        </w:rPr>
        <w:t xml:space="preserve">Les régions devraient être en mesure de choisir la manière dont elles mettent en œuvre la </w:t>
      </w:r>
      <w:r w:rsidRPr="00D93D8D">
        <w:rPr>
          <w:rFonts w:asciiTheme="minorHAnsi" w:hAnsiTheme="minorHAnsi" w:cs="Arial"/>
          <w:b/>
          <w:lang w:val="fr-FR"/>
        </w:rPr>
        <w:t>dimension territoriale de la CP</w:t>
      </w:r>
      <w:r w:rsidRPr="00D93D8D">
        <w:rPr>
          <w:rFonts w:asciiTheme="minorHAnsi" w:hAnsiTheme="minorHAnsi" w:cs="Arial"/>
          <w:lang w:val="fr-FR"/>
        </w:rPr>
        <w:t xml:space="preserve"> afin de leur permettre de gérer les inégalités in</w:t>
      </w:r>
      <w:r w:rsidR="00A768C8">
        <w:rPr>
          <w:rFonts w:asciiTheme="minorHAnsi" w:hAnsiTheme="minorHAnsi" w:cs="Arial"/>
          <w:lang w:val="fr-FR"/>
        </w:rPr>
        <w:t>f</w:t>
      </w:r>
      <w:r w:rsidRPr="00D93D8D">
        <w:rPr>
          <w:rFonts w:asciiTheme="minorHAnsi" w:hAnsiTheme="minorHAnsi" w:cs="Arial"/>
          <w:lang w:val="fr-FR"/>
        </w:rPr>
        <w:t>rarégionales. Le</w:t>
      </w:r>
      <w:r w:rsidR="00A768C8">
        <w:rPr>
          <w:rFonts w:asciiTheme="minorHAnsi" w:hAnsiTheme="minorHAnsi" w:cs="Arial"/>
          <w:lang w:val="fr-FR"/>
        </w:rPr>
        <w:t>s</w:t>
      </w:r>
      <w:r w:rsidRPr="00D93D8D">
        <w:rPr>
          <w:rFonts w:asciiTheme="minorHAnsi" w:hAnsiTheme="minorHAnsi" w:cs="Arial"/>
          <w:lang w:val="fr-FR"/>
        </w:rPr>
        <w:t xml:space="preserve"> instruments </w:t>
      </w:r>
      <w:r w:rsidR="00A768C8">
        <w:rPr>
          <w:rFonts w:asciiTheme="minorHAnsi" w:hAnsiTheme="minorHAnsi" w:cs="Arial"/>
          <w:lang w:val="fr-FR"/>
        </w:rPr>
        <w:t>territoriaux devraient</w:t>
      </w:r>
      <w:r w:rsidRPr="00D93D8D">
        <w:rPr>
          <w:rFonts w:asciiTheme="minorHAnsi" w:hAnsiTheme="minorHAnsi" w:cs="Arial"/>
          <w:lang w:val="fr-FR"/>
        </w:rPr>
        <w:t xml:space="preserve"> répondre aux contextes et besoins particuliers des différents types de zones </w:t>
      </w:r>
      <w:r w:rsidR="00A768C8">
        <w:rPr>
          <w:rFonts w:asciiTheme="minorHAnsi" w:hAnsiTheme="minorHAnsi" w:cs="Arial"/>
          <w:lang w:val="fr-FR"/>
        </w:rPr>
        <w:t>géographiques</w:t>
      </w:r>
      <w:r w:rsidRPr="00D93D8D">
        <w:rPr>
          <w:rFonts w:asciiTheme="minorHAnsi" w:hAnsiTheme="minorHAnsi" w:cs="Arial"/>
          <w:lang w:val="fr-FR"/>
        </w:rPr>
        <w:t>. Les autorités de gestion régionales devraient pouvoir choisir les instruments territoriaux qu’elles souhaitent développer.</w:t>
      </w:r>
    </w:p>
    <w:p w:rsidR="0083711D" w:rsidRPr="00D93D8D" w:rsidRDefault="0083711D" w:rsidP="0083711D">
      <w:pPr>
        <w:pStyle w:val="Paragraphedeliste"/>
        <w:tabs>
          <w:tab w:val="left" w:pos="426"/>
        </w:tabs>
        <w:autoSpaceDE w:val="0"/>
        <w:autoSpaceDN w:val="0"/>
        <w:adjustRightInd w:val="0"/>
        <w:spacing w:after="120"/>
        <w:ind w:left="426"/>
        <w:contextualSpacing w:val="0"/>
        <w:jc w:val="both"/>
        <w:rPr>
          <w:rFonts w:asciiTheme="minorHAnsi" w:hAnsiTheme="minorHAnsi" w:cs="Arial"/>
          <w:b/>
          <w:lang w:val="fr-FR"/>
        </w:rPr>
      </w:pPr>
    </w:p>
    <w:p w:rsidR="00A75939" w:rsidRDefault="00A75939">
      <w:pPr>
        <w:rPr>
          <w:rFonts w:asciiTheme="minorHAnsi" w:hAnsiTheme="minorHAnsi" w:cs="Arial"/>
          <w:b/>
          <w:i/>
          <w:lang w:val="fr-FR"/>
        </w:rPr>
      </w:pPr>
      <w:r>
        <w:rPr>
          <w:rFonts w:asciiTheme="minorHAnsi" w:hAnsiTheme="minorHAnsi" w:cs="Arial"/>
          <w:b/>
          <w:i/>
          <w:lang w:val="fr-FR"/>
        </w:rPr>
        <w:br w:type="page"/>
      </w:r>
    </w:p>
    <w:p w:rsidR="0083711D" w:rsidRPr="00D93D8D" w:rsidRDefault="0083711D" w:rsidP="0083711D">
      <w:pPr>
        <w:tabs>
          <w:tab w:val="left" w:pos="426"/>
        </w:tabs>
        <w:autoSpaceDE w:val="0"/>
        <w:autoSpaceDN w:val="0"/>
        <w:adjustRightInd w:val="0"/>
        <w:spacing w:after="120"/>
        <w:jc w:val="both"/>
        <w:rPr>
          <w:rFonts w:asciiTheme="minorHAnsi" w:hAnsiTheme="minorHAnsi" w:cs="Arial"/>
          <w:i/>
          <w:lang w:val="fr-FR"/>
        </w:rPr>
      </w:pPr>
      <w:r w:rsidRPr="00D93D8D">
        <w:rPr>
          <w:rFonts w:asciiTheme="minorHAnsi" w:hAnsiTheme="minorHAnsi" w:cs="Arial"/>
          <w:b/>
          <w:i/>
          <w:lang w:val="fr-FR"/>
        </w:rPr>
        <w:lastRenderedPageBreak/>
        <w:t>Coopération terr</w:t>
      </w:r>
      <w:bookmarkStart w:id="0" w:name="_GoBack"/>
      <w:bookmarkEnd w:id="0"/>
      <w:r w:rsidRPr="00D93D8D">
        <w:rPr>
          <w:rFonts w:asciiTheme="minorHAnsi" w:hAnsiTheme="minorHAnsi" w:cs="Arial"/>
          <w:b/>
          <w:i/>
          <w:lang w:val="fr-FR"/>
        </w:rPr>
        <w:t>itoriale européenne (CTE)</w:t>
      </w:r>
    </w:p>
    <w:p w:rsidR="0083711D" w:rsidRPr="00D93D8D" w:rsidRDefault="0083711D" w:rsidP="0083711D">
      <w:pPr>
        <w:pStyle w:val="Paragraphedeliste"/>
        <w:numPr>
          <w:ilvl w:val="0"/>
          <w:numId w:val="2"/>
        </w:numPr>
        <w:tabs>
          <w:tab w:val="left" w:pos="426"/>
        </w:tabs>
        <w:autoSpaceDE w:val="0"/>
        <w:autoSpaceDN w:val="0"/>
        <w:adjustRightInd w:val="0"/>
        <w:spacing w:after="120"/>
        <w:ind w:left="426" w:hanging="426"/>
        <w:contextualSpacing w:val="0"/>
        <w:jc w:val="both"/>
        <w:rPr>
          <w:rFonts w:asciiTheme="minorHAnsi" w:hAnsiTheme="minorHAnsi" w:cs="Arial"/>
          <w:lang w:val="fr-FR"/>
        </w:rPr>
      </w:pPr>
      <w:r w:rsidRPr="00D93D8D">
        <w:rPr>
          <w:rFonts w:asciiTheme="minorHAnsi" w:hAnsiTheme="minorHAnsi" w:cs="Arial"/>
          <w:lang w:val="fr-FR"/>
        </w:rPr>
        <w:t xml:space="preserve">Dans le cadre de la CTE, </w:t>
      </w:r>
      <w:r w:rsidR="00AB2475" w:rsidRPr="00D93D8D">
        <w:rPr>
          <w:rFonts w:asciiTheme="minorHAnsi" w:hAnsiTheme="minorHAnsi" w:cs="Arial"/>
          <w:lang w:val="fr-FR"/>
        </w:rPr>
        <w:t>une augmentation d</w:t>
      </w:r>
      <w:r w:rsidRPr="00D93D8D">
        <w:rPr>
          <w:rFonts w:asciiTheme="minorHAnsi" w:hAnsiTheme="minorHAnsi" w:cs="Arial"/>
          <w:lang w:val="fr-FR"/>
        </w:rPr>
        <w:t xml:space="preserve">es </w:t>
      </w:r>
      <w:r w:rsidRPr="00D93D8D">
        <w:rPr>
          <w:rFonts w:asciiTheme="minorHAnsi" w:hAnsiTheme="minorHAnsi" w:cs="Arial"/>
          <w:b/>
          <w:lang w:val="fr-FR"/>
        </w:rPr>
        <w:t>financements</w:t>
      </w:r>
      <w:r w:rsidRPr="00D93D8D">
        <w:rPr>
          <w:rFonts w:asciiTheme="minorHAnsi" w:hAnsiTheme="minorHAnsi" w:cs="Arial"/>
          <w:lang w:val="fr-FR"/>
        </w:rPr>
        <w:t xml:space="preserve"> efficaces et ciblés visant à améliorer la coopération transfrontalière, transnationale et interrégionale est souhaitable. Un </w:t>
      </w:r>
      <w:r w:rsidRPr="00D93D8D">
        <w:rPr>
          <w:rFonts w:asciiTheme="minorHAnsi" w:hAnsiTheme="minorHAnsi" w:cs="Arial"/>
          <w:b/>
          <w:lang w:val="fr-FR"/>
        </w:rPr>
        <w:t>cadre réglementaire unique</w:t>
      </w:r>
      <w:r w:rsidRPr="00D93D8D">
        <w:rPr>
          <w:rFonts w:asciiTheme="minorHAnsi" w:hAnsiTheme="minorHAnsi" w:cs="Arial"/>
          <w:lang w:val="fr-FR"/>
        </w:rPr>
        <w:t xml:space="preserve"> commun à tous les programmes de CTE devrait être envisagé. </w:t>
      </w:r>
    </w:p>
    <w:p w:rsidR="0083711D" w:rsidRPr="00D93D8D" w:rsidRDefault="0083711D" w:rsidP="0083711D">
      <w:pPr>
        <w:pStyle w:val="Paragraphedeliste"/>
        <w:numPr>
          <w:ilvl w:val="0"/>
          <w:numId w:val="2"/>
        </w:numPr>
        <w:tabs>
          <w:tab w:val="left" w:pos="426"/>
        </w:tabs>
        <w:autoSpaceDE w:val="0"/>
        <w:autoSpaceDN w:val="0"/>
        <w:adjustRightInd w:val="0"/>
        <w:spacing w:after="120"/>
        <w:ind w:left="426" w:hanging="426"/>
        <w:contextualSpacing w:val="0"/>
        <w:jc w:val="both"/>
        <w:rPr>
          <w:rFonts w:asciiTheme="minorHAnsi" w:hAnsiTheme="minorHAnsi" w:cs="Arial"/>
          <w:lang w:val="fr-FR"/>
        </w:rPr>
      </w:pPr>
      <w:r w:rsidRPr="00D93D8D">
        <w:rPr>
          <w:rFonts w:asciiTheme="minorHAnsi" w:hAnsiTheme="minorHAnsi" w:cs="Arial"/>
          <w:b/>
          <w:lang w:val="fr-FR"/>
        </w:rPr>
        <w:t xml:space="preserve">Les synergies entre les spécialisations régionales </w:t>
      </w:r>
      <w:r w:rsidRPr="00D93D8D">
        <w:rPr>
          <w:rFonts w:asciiTheme="minorHAnsi" w:hAnsiTheme="minorHAnsi" w:cs="Arial"/>
          <w:lang w:val="fr-FR"/>
        </w:rPr>
        <w:t xml:space="preserve">créent de la valeur, contribuent à réduire les inégalités territoriales et génèrent des externalités qui profitent à l’ensemble de l’Union européenne. </w:t>
      </w:r>
    </w:p>
    <w:p w:rsidR="0083711D" w:rsidRPr="00D93D8D" w:rsidRDefault="0083711D" w:rsidP="0083711D">
      <w:pPr>
        <w:pStyle w:val="Paragraphedeliste"/>
        <w:numPr>
          <w:ilvl w:val="0"/>
          <w:numId w:val="2"/>
        </w:numPr>
        <w:tabs>
          <w:tab w:val="left" w:pos="426"/>
        </w:tabs>
        <w:autoSpaceDE w:val="0"/>
        <w:autoSpaceDN w:val="0"/>
        <w:adjustRightInd w:val="0"/>
        <w:spacing w:after="120"/>
        <w:ind w:left="426" w:hanging="426"/>
        <w:contextualSpacing w:val="0"/>
        <w:jc w:val="both"/>
        <w:rPr>
          <w:rFonts w:asciiTheme="minorHAnsi" w:hAnsiTheme="minorHAnsi" w:cs="Arial"/>
          <w:lang w:val="fr-FR"/>
        </w:rPr>
      </w:pPr>
      <w:r w:rsidRPr="00D93D8D">
        <w:rPr>
          <w:rFonts w:asciiTheme="minorHAnsi" w:hAnsiTheme="minorHAnsi" w:cs="Arial"/>
          <w:lang w:val="fr-FR"/>
        </w:rPr>
        <w:t xml:space="preserve">Les programmes transnationaux jouent un rôle essentiel pour appuyer les stratégies </w:t>
      </w:r>
      <w:proofErr w:type="spellStart"/>
      <w:r w:rsidRPr="00D93D8D">
        <w:rPr>
          <w:rFonts w:asciiTheme="minorHAnsi" w:hAnsiTheme="minorHAnsi" w:cs="Arial"/>
          <w:lang w:val="fr-FR"/>
        </w:rPr>
        <w:t>macrorégionales</w:t>
      </w:r>
      <w:proofErr w:type="spellEnd"/>
      <w:r w:rsidRPr="00D93D8D">
        <w:rPr>
          <w:rFonts w:asciiTheme="minorHAnsi" w:hAnsiTheme="minorHAnsi" w:cs="Arial"/>
          <w:lang w:val="fr-FR"/>
        </w:rPr>
        <w:t xml:space="preserve">. </w:t>
      </w:r>
      <w:r w:rsidRPr="00D93D8D">
        <w:rPr>
          <w:rFonts w:asciiTheme="minorHAnsi" w:hAnsiTheme="minorHAnsi" w:cs="Arial"/>
          <w:b/>
          <w:lang w:val="fr-FR"/>
        </w:rPr>
        <w:t>Les</w:t>
      </w:r>
      <w:r w:rsidRPr="00D93D8D">
        <w:rPr>
          <w:rFonts w:asciiTheme="minorHAnsi" w:hAnsiTheme="minorHAnsi" w:cs="Arial"/>
          <w:lang w:val="fr-FR"/>
        </w:rPr>
        <w:t xml:space="preserve"> </w:t>
      </w:r>
      <w:r w:rsidRPr="00D93D8D">
        <w:rPr>
          <w:rFonts w:asciiTheme="minorHAnsi" w:hAnsiTheme="minorHAnsi" w:cs="Arial"/>
          <w:b/>
          <w:lang w:val="fr-FR"/>
        </w:rPr>
        <w:t xml:space="preserve">régions devraient jouer un rôle prépondérant </w:t>
      </w:r>
      <w:r w:rsidRPr="00D93D8D">
        <w:rPr>
          <w:rFonts w:asciiTheme="minorHAnsi" w:hAnsiTheme="minorHAnsi" w:cs="Arial"/>
          <w:lang w:val="fr-FR"/>
        </w:rPr>
        <w:t xml:space="preserve">dans la gestion des programmes, notamment transfrontaliers, de CTE. </w:t>
      </w:r>
    </w:p>
    <w:p w:rsidR="0083711D" w:rsidRPr="00D93D8D" w:rsidRDefault="0083711D" w:rsidP="0083711D">
      <w:pPr>
        <w:pStyle w:val="Paragraphedeliste"/>
        <w:numPr>
          <w:ilvl w:val="0"/>
          <w:numId w:val="2"/>
        </w:numPr>
        <w:tabs>
          <w:tab w:val="left" w:pos="426"/>
        </w:tabs>
        <w:autoSpaceDE w:val="0"/>
        <w:autoSpaceDN w:val="0"/>
        <w:adjustRightInd w:val="0"/>
        <w:spacing w:after="120"/>
        <w:ind w:left="426" w:hanging="426"/>
        <w:contextualSpacing w:val="0"/>
        <w:jc w:val="both"/>
        <w:rPr>
          <w:rFonts w:asciiTheme="minorHAnsi" w:hAnsiTheme="minorHAnsi" w:cs="Arial"/>
          <w:lang w:val="fr-FR"/>
        </w:rPr>
      </w:pPr>
      <w:r w:rsidRPr="00D93D8D">
        <w:rPr>
          <w:rFonts w:asciiTheme="minorHAnsi" w:hAnsiTheme="minorHAnsi" w:cs="Arial"/>
          <w:lang w:val="fr-FR"/>
        </w:rPr>
        <w:t>Les modalités d’exécution des programmes de CTE et de l’</w:t>
      </w:r>
      <w:r w:rsidRPr="00D93D8D">
        <w:rPr>
          <w:rFonts w:asciiTheme="minorHAnsi" w:hAnsiTheme="minorHAnsi" w:cs="Arial"/>
          <w:b/>
          <w:lang w:val="fr-FR"/>
        </w:rPr>
        <w:t xml:space="preserve">instrument européen de voisinage </w:t>
      </w:r>
      <w:r w:rsidRPr="00D93D8D">
        <w:rPr>
          <w:rFonts w:asciiTheme="minorHAnsi" w:hAnsiTheme="minorHAnsi" w:cs="Arial"/>
          <w:lang w:val="fr-FR"/>
        </w:rPr>
        <w:t>devraient être harmonisées.</w:t>
      </w:r>
    </w:p>
    <w:p w:rsidR="0083711D" w:rsidRPr="00D93D8D" w:rsidRDefault="0083711D" w:rsidP="0083711D">
      <w:pPr>
        <w:pStyle w:val="Paragraphedeliste"/>
        <w:tabs>
          <w:tab w:val="left" w:pos="426"/>
        </w:tabs>
        <w:autoSpaceDE w:val="0"/>
        <w:autoSpaceDN w:val="0"/>
        <w:adjustRightInd w:val="0"/>
        <w:spacing w:after="120"/>
        <w:ind w:left="426"/>
        <w:contextualSpacing w:val="0"/>
        <w:jc w:val="both"/>
        <w:rPr>
          <w:rFonts w:asciiTheme="minorHAnsi" w:hAnsiTheme="minorHAnsi" w:cs="Arial"/>
          <w:b/>
          <w:lang w:val="fr-FR"/>
        </w:rPr>
      </w:pPr>
    </w:p>
    <w:p w:rsidR="0083711D" w:rsidRPr="00D93D8D" w:rsidRDefault="0083711D" w:rsidP="0083711D">
      <w:pPr>
        <w:tabs>
          <w:tab w:val="left" w:pos="426"/>
        </w:tabs>
        <w:autoSpaceDE w:val="0"/>
        <w:autoSpaceDN w:val="0"/>
        <w:adjustRightInd w:val="0"/>
        <w:spacing w:after="120"/>
        <w:jc w:val="both"/>
        <w:rPr>
          <w:rFonts w:asciiTheme="minorHAnsi" w:hAnsiTheme="minorHAnsi" w:cs="Arial"/>
          <w:i/>
          <w:lang w:val="fr-FR"/>
        </w:rPr>
      </w:pPr>
      <w:r w:rsidRPr="00D93D8D">
        <w:rPr>
          <w:rFonts w:asciiTheme="minorHAnsi" w:hAnsiTheme="minorHAnsi" w:cs="Arial"/>
          <w:b/>
          <w:i/>
          <w:lang w:val="fr-FR"/>
        </w:rPr>
        <w:t>Cohérence entre les instruments de l’Union européenne</w:t>
      </w:r>
    </w:p>
    <w:p w:rsidR="0083711D" w:rsidRPr="00D93D8D" w:rsidRDefault="0083711D" w:rsidP="0083711D">
      <w:pPr>
        <w:pStyle w:val="Paragraphedeliste"/>
        <w:numPr>
          <w:ilvl w:val="0"/>
          <w:numId w:val="2"/>
        </w:numPr>
        <w:tabs>
          <w:tab w:val="left" w:pos="426"/>
        </w:tabs>
        <w:spacing w:after="120"/>
        <w:contextualSpacing w:val="0"/>
        <w:jc w:val="both"/>
        <w:rPr>
          <w:rFonts w:asciiTheme="minorHAnsi" w:hAnsiTheme="minorHAnsi" w:cs="Arial"/>
          <w:lang w:val="fr-FR"/>
        </w:rPr>
      </w:pPr>
      <w:r w:rsidRPr="00D93D8D">
        <w:rPr>
          <w:rFonts w:asciiTheme="minorHAnsi" w:hAnsiTheme="minorHAnsi" w:cs="Arial"/>
          <w:lang w:val="fr-FR"/>
        </w:rPr>
        <w:t xml:space="preserve">La finalité des Fonds ESI et du </w:t>
      </w:r>
      <w:r w:rsidRPr="00434212">
        <w:rPr>
          <w:rFonts w:asciiTheme="minorHAnsi" w:hAnsiTheme="minorHAnsi" w:cs="Arial"/>
          <w:b/>
          <w:lang w:val="fr-FR"/>
        </w:rPr>
        <w:t>Fonds européen pour les investissements stratégiques</w:t>
      </w:r>
      <w:r w:rsidR="009E2E5B">
        <w:rPr>
          <w:rFonts w:asciiTheme="minorHAnsi" w:hAnsiTheme="minorHAnsi" w:cs="Arial"/>
          <w:lang w:val="fr-FR"/>
        </w:rPr>
        <w:t> </w:t>
      </w:r>
      <w:r w:rsidRPr="00D93D8D">
        <w:rPr>
          <w:rFonts w:asciiTheme="minorHAnsi" w:hAnsiTheme="minorHAnsi" w:cs="Arial"/>
          <w:b/>
          <w:lang w:val="fr-FR"/>
        </w:rPr>
        <w:t xml:space="preserve">(EFSI) </w:t>
      </w:r>
      <w:r w:rsidRPr="00D93D8D">
        <w:rPr>
          <w:rFonts w:asciiTheme="minorHAnsi" w:hAnsiTheme="minorHAnsi" w:cs="Arial"/>
          <w:lang w:val="fr-FR"/>
        </w:rPr>
        <w:t>est différente. Les Fonds ESI ont une dimension régionale et ne devraient pas servir à alimenter l’EFSI ni aucun autre mécanisme de financement. Les quatre régions demandent à ce que l’EFSI ne soit pas considéré comme une alternative à la PC.</w:t>
      </w:r>
    </w:p>
    <w:p w:rsidR="0083711D" w:rsidRPr="00D93D8D" w:rsidRDefault="0083711D" w:rsidP="0083711D">
      <w:pPr>
        <w:pStyle w:val="Paragraphedeliste"/>
        <w:numPr>
          <w:ilvl w:val="0"/>
          <w:numId w:val="2"/>
        </w:numPr>
        <w:tabs>
          <w:tab w:val="left" w:pos="426"/>
        </w:tabs>
        <w:spacing w:after="120"/>
        <w:ind w:left="425" w:hanging="426"/>
        <w:contextualSpacing w:val="0"/>
        <w:jc w:val="both"/>
        <w:rPr>
          <w:rFonts w:asciiTheme="minorHAnsi" w:hAnsiTheme="minorHAnsi" w:cs="Arial"/>
          <w:lang w:val="fr-FR"/>
        </w:rPr>
      </w:pPr>
      <w:r w:rsidRPr="00D93D8D">
        <w:rPr>
          <w:rFonts w:asciiTheme="minorHAnsi" w:hAnsiTheme="minorHAnsi" w:cs="Arial"/>
          <w:b/>
          <w:lang w:val="fr-FR"/>
        </w:rPr>
        <w:t>Les instruments</w:t>
      </w:r>
      <w:r w:rsidRPr="00D93D8D">
        <w:rPr>
          <w:rFonts w:asciiTheme="minorHAnsi" w:hAnsiTheme="minorHAnsi" w:cs="Arial"/>
          <w:lang w:val="fr-FR"/>
        </w:rPr>
        <w:t xml:space="preserve"> </w:t>
      </w:r>
      <w:r w:rsidRPr="00D93D8D">
        <w:rPr>
          <w:rFonts w:asciiTheme="minorHAnsi" w:hAnsiTheme="minorHAnsi" w:cs="Arial"/>
          <w:b/>
          <w:lang w:val="fr-FR"/>
        </w:rPr>
        <w:t>financiers</w:t>
      </w:r>
      <w:r w:rsidRPr="00D93D8D">
        <w:rPr>
          <w:rFonts w:asciiTheme="minorHAnsi" w:hAnsiTheme="minorHAnsi" w:cs="Arial"/>
          <w:lang w:val="fr-FR"/>
        </w:rPr>
        <w:t xml:space="preserve"> </w:t>
      </w:r>
      <w:r w:rsidRPr="00D93D8D">
        <w:rPr>
          <w:rFonts w:asciiTheme="minorHAnsi" w:hAnsiTheme="minorHAnsi" w:cs="Arial"/>
          <w:b/>
          <w:lang w:val="fr-FR"/>
        </w:rPr>
        <w:t xml:space="preserve">ne doivent pas avoir vocation à remplacer les subventions, mais à les compléter. </w:t>
      </w:r>
    </w:p>
    <w:p w:rsidR="0083711D" w:rsidRPr="00D93D8D" w:rsidRDefault="0083711D" w:rsidP="0083711D">
      <w:pPr>
        <w:tabs>
          <w:tab w:val="left" w:pos="426"/>
        </w:tabs>
        <w:autoSpaceDE w:val="0"/>
        <w:autoSpaceDN w:val="0"/>
        <w:adjustRightInd w:val="0"/>
        <w:spacing w:after="120"/>
        <w:jc w:val="both"/>
        <w:rPr>
          <w:rFonts w:asciiTheme="minorHAnsi" w:hAnsiTheme="minorHAnsi" w:cs="Arial"/>
          <w:b/>
          <w:lang w:val="fr-FR"/>
        </w:rPr>
      </w:pPr>
    </w:p>
    <w:p w:rsidR="0083711D" w:rsidRPr="00D93D8D" w:rsidRDefault="0083711D" w:rsidP="0083711D">
      <w:pPr>
        <w:tabs>
          <w:tab w:val="left" w:pos="426"/>
        </w:tabs>
        <w:autoSpaceDE w:val="0"/>
        <w:autoSpaceDN w:val="0"/>
        <w:adjustRightInd w:val="0"/>
        <w:spacing w:after="120"/>
        <w:jc w:val="both"/>
        <w:rPr>
          <w:rFonts w:asciiTheme="minorHAnsi" w:hAnsiTheme="minorHAnsi" w:cs="Arial"/>
          <w:b/>
          <w:i/>
          <w:lang w:val="fr-FR"/>
        </w:rPr>
      </w:pPr>
      <w:r w:rsidRPr="00D93D8D">
        <w:rPr>
          <w:rFonts w:asciiTheme="minorHAnsi" w:hAnsiTheme="minorHAnsi" w:cs="Arial"/>
          <w:b/>
          <w:i/>
          <w:lang w:val="fr-FR"/>
        </w:rPr>
        <w:t>Calendrier et feuille de route</w:t>
      </w:r>
    </w:p>
    <w:p w:rsidR="0083711D" w:rsidRPr="00D93D8D" w:rsidRDefault="0083711D" w:rsidP="0083711D">
      <w:pPr>
        <w:pStyle w:val="Paragraphedeliste"/>
        <w:numPr>
          <w:ilvl w:val="0"/>
          <w:numId w:val="2"/>
        </w:numPr>
        <w:tabs>
          <w:tab w:val="left" w:pos="426"/>
        </w:tabs>
        <w:autoSpaceDE w:val="0"/>
        <w:autoSpaceDN w:val="0"/>
        <w:adjustRightInd w:val="0"/>
        <w:spacing w:after="120"/>
        <w:ind w:left="426" w:hanging="426"/>
        <w:contextualSpacing w:val="0"/>
        <w:jc w:val="both"/>
        <w:rPr>
          <w:rFonts w:asciiTheme="minorHAnsi" w:hAnsiTheme="minorHAnsi" w:cs="Arial"/>
          <w:lang w:val="fr-FR"/>
        </w:rPr>
      </w:pPr>
      <w:r w:rsidRPr="00D93D8D">
        <w:rPr>
          <w:rFonts w:asciiTheme="minorHAnsi" w:hAnsiTheme="minorHAnsi" w:cs="Arial"/>
          <w:lang w:val="fr-FR"/>
        </w:rPr>
        <w:t xml:space="preserve">La </w:t>
      </w:r>
      <w:r w:rsidRPr="00D93D8D">
        <w:rPr>
          <w:rFonts w:asciiTheme="minorHAnsi" w:hAnsiTheme="minorHAnsi" w:cs="Arial"/>
          <w:b/>
          <w:lang w:val="fr-FR"/>
        </w:rPr>
        <w:t>période de programmation sur sept ans</w:t>
      </w:r>
      <w:r w:rsidR="0093245F" w:rsidRPr="00D93D8D">
        <w:rPr>
          <w:rFonts w:asciiTheme="minorHAnsi" w:hAnsiTheme="minorHAnsi" w:cs="Arial"/>
          <w:b/>
          <w:lang w:val="fr-FR"/>
        </w:rPr>
        <w:t>,</w:t>
      </w:r>
      <w:r w:rsidRPr="00D93D8D">
        <w:rPr>
          <w:rFonts w:asciiTheme="minorHAnsi" w:hAnsiTheme="minorHAnsi" w:cs="Arial"/>
          <w:lang w:val="fr-FR"/>
        </w:rPr>
        <w:t xml:space="preserve"> définie par le cadre financier pluriannuel, devrait être maintenue après 2020 afin de garantir une programmation régionale efficace. Néanmoins, les régions pourraient envisager une période de programmation de 2 x 5 ans correspondant au mandat du Parlement européen.</w:t>
      </w:r>
    </w:p>
    <w:p w:rsidR="00D01B34" w:rsidRPr="001A0596" w:rsidRDefault="0083711D" w:rsidP="0079158E">
      <w:pPr>
        <w:pStyle w:val="Paragraphedeliste"/>
        <w:numPr>
          <w:ilvl w:val="0"/>
          <w:numId w:val="2"/>
        </w:numPr>
        <w:tabs>
          <w:tab w:val="left" w:pos="426"/>
        </w:tabs>
        <w:autoSpaceDE w:val="0"/>
        <w:autoSpaceDN w:val="0"/>
        <w:adjustRightInd w:val="0"/>
        <w:spacing w:after="120"/>
        <w:contextualSpacing w:val="0"/>
        <w:jc w:val="both"/>
        <w:rPr>
          <w:rFonts w:asciiTheme="minorHAnsi" w:hAnsiTheme="minorHAnsi" w:cs="Arial"/>
          <w:lang w:val="fr-FR"/>
        </w:rPr>
      </w:pPr>
      <w:r w:rsidRPr="00D80321">
        <w:rPr>
          <w:rFonts w:asciiTheme="minorHAnsi" w:hAnsiTheme="minorHAnsi" w:cs="Arial"/>
          <w:lang w:val="fr-FR"/>
        </w:rPr>
        <w:t xml:space="preserve">Les régions </w:t>
      </w:r>
      <w:r w:rsidR="009772C2">
        <w:rPr>
          <w:rFonts w:asciiTheme="minorHAnsi" w:hAnsiTheme="minorHAnsi" w:cs="Arial"/>
          <w:lang w:val="fr-FR"/>
        </w:rPr>
        <w:t>souhaitent</w:t>
      </w:r>
      <w:r w:rsidRPr="00D80321">
        <w:rPr>
          <w:rFonts w:asciiTheme="minorHAnsi" w:hAnsiTheme="minorHAnsi" w:cs="Arial"/>
          <w:lang w:val="fr-FR"/>
        </w:rPr>
        <w:t xml:space="preserve"> que l’actuel Parlement européen adopte le </w:t>
      </w:r>
      <w:r w:rsidRPr="00D80321">
        <w:rPr>
          <w:rFonts w:asciiTheme="minorHAnsi" w:hAnsiTheme="minorHAnsi" w:cs="Arial"/>
          <w:b/>
          <w:lang w:val="fr-FR"/>
        </w:rPr>
        <w:t>nouveau cadre législatif pour la politique de cohésion</w:t>
      </w:r>
      <w:r w:rsidRPr="00D80321">
        <w:rPr>
          <w:rFonts w:asciiTheme="minorHAnsi" w:hAnsiTheme="minorHAnsi" w:cs="Arial"/>
          <w:lang w:val="fr-FR"/>
        </w:rPr>
        <w:t xml:space="preserve"> </w:t>
      </w:r>
      <w:r w:rsidRPr="00D80321">
        <w:rPr>
          <w:rFonts w:asciiTheme="minorHAnsi" w:hAnsiTheme="minorHAnsi" w:cs="Arial"/>
          <w:b/>
          <w:lang w:val="fr-FR"/>
        </w:rPr>
        <w:t>d’ici avril</w:t>
      </w:r>
      <w:r w:rsidRPr="00D80321">
        <w:rPr>
          <w:rFonts w:asciiTheme="minorHAnsi" w:hAnsiTheme="minorHAnsi" w:cs="Arial"/>
          <w:lang w:val="fr-FR"/>
        </w:rPr>
        <w:t> </w:t>
      </w:r>
      <w:r w:rsidRPr="00D80321">
        <w:rPr>
          <w:rFonts w:asciiTheme="minorHAnsi" w:hAnsiTheme="minorHAnsi" w:cs="Arial"/>
          <w:b/>
          <w:lang w:val="fr-FR"/>
        </w:rPr>
        <w:t>2019,</w:t>
      </w:r>
      <w:r w:rsidRPr="00D80321">
        <w:rPr>
          <w:rFonts w:asciiTheme="minorHAnsi" w:hAnsiTheme="minorHAnsi" w:cs="Arial"/>
          <w:lang w:val="fr-FR"/>
        </w:rPr>
        <w:t xml:space="preserve"> </w:t>
      </w:r>
      <w:r w:rsidR="009772C2">
        <w:rPr>
          <w:rFonts w:asciiTheme="minorHAnsi" w:hAnsiTheme="minorHAnsi" w:cs="Arial"/>
          <w:lang w:val="fr-FR"/>
        </w:rPr>
        <w:t>et</w:t>
      </w:r>
      <w:r w:rsidR="009772C2" w:rsidRPr="00D80321">
        <w:rPr>
          <w:rFonts w:asciiTheme="minorHAnsi" w:hAnsiTheme="minorHAnsi" w:cs="Arial"/>
          <w:lang w:val="fr-FR"/>
        </w:rPr>
        <w:t xml:space="preserve"> </w:t>
      </w:r>
      <w:r w:rsidRPr="00D80321">
        <w:rPr>
          <w:rFonts w:asciiTheme="minorHAnsi" w:hAnsiTheme="minorHAnsi" w:cs="Arial"/>
          <w:lang w:val="fr-FR"/>
        </w:rPr>
        <w:t xml:space="preserve">que les négociations relatives aux PO </w:t>
      </w:r>
      <w:r w:rsidR="009772C2">
        <w:rPr>
          <w:rFonts w:asciiTheme="minorHAnsi" w:hAnsiTheme="minorHAnsi" w:cs="Arial"/>
          <w:lang w:val="fr-FR"/>
        </w:rPr>
        <w:t>aient</w:t>
      </w:r>
      <w:r w:rsidRPr="00D80321">
        <w:rPr>
          <w:rFonts w:asciiTheme="minorHAnsi" w:hAnsiTheme="minorHAnsi" w:cs="Arial"/>
          <w:lang w:val="fr-FR"/>
        </w:rPr>
        <w:t xml:space="preserve"> lieu d’ici la fin 2020.</w:t>
      </w:r>
    </w:p>
    <w:sectPr w:rsidR="00D01B34" w:rsidRPr="001A0596" w:rsidSect="004D23EE">
      <w:headerReference w:type="even" r:id="rId9"/>
      <w:headerReference w:type="default" r:id="rId10"/>
      <w:footerReference w:type="default" r:id="rId11"/>
      <w:head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200" w:rsidRDefault="008E2200" w:rsidP="009D3EE8">
      <w:r>
        <w:separator/>
      </w:r>
    </w:p>
  </w:endnote>
  <w:endnote w:type="continuationSeparator" w:id="0">
    <w:p w:rsidR="008E2200" w:rsidRDefault="008E2200" w:rsidP="009D3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hAnsi="Calibri"/>
      </w:rPr>
      <w:id w:val="2025362040"/>
      <w:docPartObj>
        <w:docPartGallery w:val="Page Numbers (Bottom of Page)"/>
        <w:docPartUnique/>
      </w:docPartObj>
    </w:sdtPr>
    <w:sdtEndPr/>
    <w:sdtContent>
      <w:p w:rsidR="007C48AB" w:rsidRPr="00394975" w:rsidRDefault="007C48AB">
        <w:pPr>
          <w:pStyle w:val="Pieddepage"/>
          <w:jc w:val="right"/>
          <w:rPr>
            <w:rFonts w:ascii="Calibri" w:hAnsi="Calibri"/>
          </w:rPr>
        </w:pPr>
        <w:r w:rsidRPr="00394975">
          <w:rPr>
            <w:rFonts w:ascii="Calibri" w:hAnsi="Calibri"/>
          </w:rPr>
          <w:fldChar w:fldCharType="begin"/>
        </w:r>
        <w:r w:rsidRPr="00394975">
          <w:rPr>
            <w:rFonts w:ascii="Calibri" w:hAnsi="Calibri"/>
          </w:rPr>
          <w:instrText>PAGE   \* MERGEFORMAT</w:instrText>
        </w:r>
        <w:r w:rsidRPr="00394975">
          <w:rPr>
            <w:rFonts w:ascii="Calibri" w:hAnsi="Calibri"/>
          </w:rPr>
          <w:fldChar w:fldCharType="separate"/>
        </w:r>
        <w:r w:rsidR="00C24954">
          <w:rPr>
            <w:rFonts w:ascii="Calibri" w:hAnsi="Calibri"/>
            <w:noProof/>
          </w:rPr>
          <w:t>1</w:t>
        </w:r>
        <w:r w:rsidRPr="00394975">
          <w:rPr>
            <w:rFonts w:ascii="Calibri" w:hAnsi="Calibri"/>
          </w:rPr>
          <w:fldChar w:fldCharType="end"/>
        </w:r>
      </w:p>
    </w:sdtContent>
  </w:sdt>
  <w:p w:rsidR="007C48AB" w:rsidRDefault="007C48A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200" w:rsidRDefault="008E2200" w:rsidP="009D3EE8">
      <w:r>
        <w:separator/>
      </w:r>
    </w:p>
  </w:footnote>
  <w:footnote w:type="continuationSeparator" w:id="0">
    <w:p w:rsidR="008E2200" w:rsidRDefault="008E2200" w:rsidP="009D3E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8AB" w:rsidRDefault="007C48A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8AB" w:rsidRDefault="007C48AB">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8AB" w:rsidRDefault="007C48A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71C5"/>
    <w:multiLevelType w:val="hybridMultilevel"/>
    <w:tmpl w:val="AB9ABE92"/>
    <w:lvl w:ilvl="0" w:tplc="D40AFE28">
      <w:start w:val="1"/>
      <w:numFmt w:val="decimal"/>
      <w:lvlText w:val="%1."/>
      <w:lvlJc w:val="left"/>
      <w:pPr>
        <w:ind w:left="786" w:hanging="360"/>
      </w:pPr>
      <w:rPr>
        <w:rFonts w:ascii="Arial" w:hAnsi="Arial" w:cs="Arial" w:hint="default"/>
        <w:sz w:val="24"/>
      </w:r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1">
    <w:nsid w:val="1ABF4546"/>
    <w:multiLevelType w:val="hybridMultilevel"/>
    <w:tmpl w:val="A68E03A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C6D13B2"/>
    <w:multiLevelType w:val="hybridMultilevel"/>
    <w:tmpl w:val="EC9A67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DF55F18"/>
    <w:multiLevelType w:val="hybridMultilevel"/>
    <w:tmpl w:val="EEE69634"/>
    <w:lvl w:ilvl="0" w:tplc="D40AFE28">
      <w:start w:val="1"/>
      <w:numFmt w:val="decimal"/>
      <w:lvlText w:val="%1."/>
      <w:lvlJc w:val="left"/>
      <w:pPr>
        <w:ind w:left="644" w:hanging="360"/>
      </w:pPr>
      <w:rPr>
        <w:rFonts w:ascii="Arial" w:hAnsi="Arial" w:cs="Arial" w:hint="default"/>
        <w:sz w:val="24"/>
      </w:r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4">
    <w:nsid w:val="32D678E3"/>
    <w:multiLevelType w:val="hybridMultilevel"/>
    <w:tmpl w:val="F5881CD8"/>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
    <w:nsid w:val="38C64B16"/>
    <w:multiLevelType w:val="hybridMultilevel"/>
    <w:tmpl w:val="95CE9E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E0E38D5"/>
    <w:multiLevelType w:val="hybridMultilevel"/>
    <w:tmpl w:val="076E6786"/>
    <w:lvl w:ilvl="0" w:tplc="D40AFE28">
      <w:start w:val="1"/>
      <w:numFmt w:val="decimal"/>
      <w:lvlText w:val="%1."/>
      <w:lvlJc w:val="left"/>
      <w:pPr>
        <w:ind w:left="720" w:hanging="360"/>
      </w:pPr>
      <w:rPr>
        <w:rFonts w:ascii="Arial" w:hAnsi="Arial" w:cs="Arial"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50CF6B35"/>
    <w:multiLevelType w:val="hybridMultilevel"/>
    <w:tmpl w:val="076E6786"/>
    <w:lvl w:ilvl="0" w:tplc="D40AFE28">
      <w:start w:val="1"/>
      <w:numFmt w:val="decimal"/>
      <w:lvlText w:val="%1."/>
      <w:lvlJc w:val="left"/>
      <w:pPr>
        <w:ind w:left="720" w:hanging="360"/>
      </w:pPr>
      <w:rPr>
        <w:rFonts w:ascii="Arial" w:hAnsi="Arial" w:cs="Arial"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55F97F2C"/>
    <w:multiLevelType w:val="hybridMultilevel"/>
    <w:tmpl w:val="1166CFA4"/>
    <w:lvl w:ilvl="0" w:tplc="95C2E03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74E23B1"/>
    <w:multiLevelType w:val="hybridMultilevel"/>
    <w:tmpl w:val="EC5C0844"/>
    <w:lvl w:ilvl="0" w:tplc="04070001">
      <w:start w:val="1"/>
      <w:numFmt w:val="bullet"/>
      <w:lvlText w:val=""/>
      <w:lvlJc w:val="left"/>
      <w:pPr>
        <w:ind w:left="720" w:hanging="360"/>
      </w:pPr>
      <w:rPr>
        <w:rFonts w:ascii="Symbol" w:hAnsi="Symbo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9DD29A4"/>
    <w:multiLevelType w:val="hybridMultilevel"/>
    <w:tmpl w:val="0A26A070"/>
    <w:lvl w:ilvl="0" w:tplc="B1743420">
      <w:numFmt w:val="bullet"/>
      <w:lvlText w:val="-"/>
      <w:lvlJc w:val="left"/>
      <w:pPr>
        <w:ind w:left="720" w:hanging="360"/>
      </w:pPr>
      <w:rPr>
        <w:rFonts w:ascii="Arial" w:eastAsia="Times New Roman" w:hAnsi="Arial"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9FE21A0"/>
    <w:multiLevelType w:val="hybridMultilevel"/>
    <w:tmpl w:val="61882A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25446B3"/>
    <w:multiLevelType w:val="hybridMultilevel"/>
    <w:tmpl w:val="073626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3B83DDC"/>
    <w:multiLevelType w:val="hybridMultilevel"/>
    <w:tmpl w:val="D0304EB4"/>
    <w:lvl w:ilvl="0" w:tplc="04070001">
      <w:start w:val="1"/>
      <w:numFmt w:val="bullet"/>
      <w:lvlText w:val=""/>
      <w:lvlJc w:val="left"/>
      <w:pPr>
        <w:ind w:left="720" w:hanging="360"/>
      </w:pPr>
      <w:rPr>
        <w:rFonts w:ascii="Symbol" w:hAnsi="Symbo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4801734"/>
    <w:multiLevelType w:val="hybridMultilevel"/>
    <w:tmpl w:val="98662F7C"/>
    <w:lvl w:ilvl="0" w:tplc="D40AFE28">
      <w:start w:val="1"/>
      <w:numFmt w:val="decimal"/>
      <w:lvlText w:val="%1."/>
      <w:lvlJc w:val="left"/>
      <w:pPr>
        <w:ind w:left="644" w:hanging="360"/>
      </w:pPr>
      <w:rPr>
        <w:rFonts w:ascii="Arial" w:hAnsi="Arial" w:cs="Arial" w:hint="default"/>
        <w:sz w:val="24"/>
      </w:r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5">
    <w:nsid w:val="7A183E46"/>
    <w:multiLevelType w:val="hybridMultilevel"/>
    <w:tmpl w:val="4096101A"/>
    <w:lvl w:ilvl="0" w:tplc="04070001">
      <w:start w:val="1"/>
      <w:numFmt w:val="bullet"/>
      <w:lvlText w:val=""/>
      <w:lvlJc w:val="left"/>
      <w:pPr>
        <w:ind w:left="360" w:hanging="360"/>
      </w:pPr>
      <w:rPr>
        <w:rFonts w:ascii="Symbol" w:hAnsi="Symbol" w:hint="default"/>
        <w:sz w:val="24"/>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5"/>
  </w:num>
  <w:num w:numId="3">
    <w:abstractNumId w:val="6"/>
  </w:num>
  <w:num w:numId="4">
    <w:abstractNumId w:val="7"/>
  </w:num>
  <w:num w:numId="5">
    <w:abstractNumId w:val="1"/>
  </w:num>
  <w:num w:numId="6">
    <w:abstractNumId w:val="3"/>
  </w:num>
  <w:num w:numId="7">
    <w:abstractNumId w:val="0"/>
  </w:num>
  <w:num w:numId="8">
    <w:abstractNumId w:val="14"/>
  </w:num>
  <w:num w:numId="9">
    <w:abstractNumId w:val="8"/>
  </w:num>
  <w:num w:numId="10">
    <w:abstractNumId w:val="4"/>
  </w:num>
  <w:num w:numId="11">
    <w:abstractNumId w:val="10"/>
  </w:num>
  <w:num w:numId="12">
    <w:abstractNumId w:val="11"/>
  </w:num>
  <w:num w:numId="13">
    <w:abstractNumId w:val="5"/>
  </w:num>
  <w:num w:numId="14">
    <w:abstractNumId w:val="12"/>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D8F"/>
    <w:rsid w:val="00001733"/>
    <w:rsid w:val="00001EAB"/>
    <w:rsid w:val="00006CC9"/>
    <w:rsid w:val="000136A9"/>
    <w:rsid w:val="000152AF"/>
    <w:rsid w:val="00026A29"/>
    <w:rsid w:val="00040A57"/>
    <w:rsid w:val="0004115C"/>
    <w:rsid w:val="000433B3"/>
    <w:rsid w:val="00047B41"/>
    <w:rsid w:val="0005086A"/>
    <w:rsid w:val="00054A8B"/>
    <w:rsid w:val="000568CD"/>
    <w:rsid w:val="000653CE"/>
    <w:rsid w:val="00072420"/>
    <w:rsid w:val="00073C60"/>
    <w:rsid w:val="00077E0C"/>
    <w:rsid w:val="000874F8"/>
    <w:rsid w:val="00091199"/>
    <w:rsid w:val="00097996"/>
    <w:rsid w:val="000E1D18"/>
    <w:rsid w:val="000E3E94"/>
    <w:rsid w:val="000F3744"/>
    <w:rsid w:val="000F543D"/>
    <w:rsid w:val="001005DF"/>
    <w:rsid w:val="00102867"/>
    <w:rsid w:val="00105210"/>
    <w:rsid w:val="00111389"/>
    <w:rsid w:val="00112EEC"/>
    <w:rsid w:val="00114FED"/>
    <w:rsid w:val="00120A37"/>
    <w:rsid w:val="00132FF7"/>
    <w:rsid w:val="00133C65"/>
    <w:rsid w:val="001451EA"/>
    <w:rsid w:val="00157248"/>
    <w:rsid w:val="0015726B"/>
    <w:rsid w:val="00161800"/>
    <w:rsid w:val="00171F08"/>
    <w:rsid w:val="001746DE"/>
    <w:rsid w:val="00183C25"/>
    <w:rsid w:val="001902B6"/>
    <w:rsid w:val="001A0596"/>
    <w:rsid w:val="001B217F"/>
    <w:rsid w:val="001C5138"/>
    <w:rsid w:val="001D180D"/>
    <w:rsid w:val="001E1AA9"/>
    <w:rsid w:val="001E4414"/>
    <w:rsid w:val="001E66D3"/>
    <w:rsid w:val="001F58C7"/>
    <w:rsid w:val="001F6AA9"/>
    <w:rsid w:val="00200142"/>
    <w:rsid w:val="00200512"/>
    <w:rsid w:val="002017E6"/>
    <w:rsid w:val="00210675"/>
    <w:rsid w:val="00217233"/>
    <w:rsid w:val="002221DF"/>
    <w:rsid w:val="00223CA7"/>
    <w:rsid w:val="002405AD"/>
    <w:rsid w:val="002414E9"/>
    <w:rsid w:val="0025328F"/>
    <w:rsid w:val="002545FE"/>
    <w:rsid w:val="002550A0"/>
    <w:rsid w:val="00260AD3"/>
    <w:rsid w:val="00261BFE"/>
    <w:rsid w:val="00274DC0"/>
    <w:rsid w:val="00287368"/>
    <w:rsid w:val="0029011F"/>
    <w:rsid w:val="00293057"/>
    <w:rsid w:val="00294FEF"/>
    <w:rsid w:val="002A23DD"/>
    <w:rsid w:val="002A3336"/>
    <w:rsid w:val="002A6440"/>
    <w:rsid w:val="002C31A9"/>
    <w:rsid w:val="002C6043"/>
    <w:rsid w:val="002D33F5"/>
    <w:rsid w:val="002D5856"/>
    <w:rsid w:val="002E2543"/>
    <w:rsid w:val="002E3803"/>
    <w:rsid w:val="002E4C11"/>
    <w:rsid w:val="002F5B85"/>
    <w:rsid w:val="0030132D"/>
    <w:rsid w:val="003021D2"/>
    <w:rsid w:val="003132A3"/>
    <w:rsid w:val="003201F2"/>
    <w:rsid w:val="003453FD"/>
    <w:rsid w:val="003515ED"/>
    <w:rsid w:val="0035499A"/>
    <w:rsid w:val="003632EC"/>
    <w:rsid w:val="00364098"/>
    <w:rsid w:val="003705CB"/>
    <w:rsid w:val="0037549E"/>
    <w:rsid w:val="00384380"/>
    <w:rsid w:val="00384860"/>
    <w:rsid w:val="003854BD"/>
    <w:rsid w:val="00387036"/>
    <w:rsid w:val="00392A3C"/>
    <w:rsid w:val="00393D59"/>
    <w:rsid w:val="00394975"/>
    <w:rsid w:val="003A2F6F"/>
    <w:rsid w:val="003A4A3C"/>
    <w:rsid w:val="003A5405"/>
    <w:rsid w:val="003B2629"/>
    <w:rsid w:val="003B35B3"/>
    <w:rsid w:val="003C4904"/>
    <w:rsid w:val="003C4D04"/>
    <w:rsid w:val="003C7C2F"/>
    <w:rsid w:val="003D7612"/>
    <w:rsid w:val="003F6329"/>
    <w:rsid w:val="004011C4"/>
    <w:rsid w:val="004060C7"/>
    <w:rsid w:val="00412602"/>
    <w:rsid w:val="00420664"/>
    <w:rsid w:val="00432F6F"/>
    <w:rsid w:val="00434212"/>
    <w:rsid w:val="00436504"/>
    <w:rsid w:val="00436549"/>
    <w:rsid w:val="00436B66"/>
    <w:rsid w:val="0044294F"/>
    <w:rsid w:val="0044418B"/>
    <w:rsid w:val="004719D3"/>
    <w:rsid w:val="004813AF"/>
    <w:rsid w:val="00482111"/>
    <w:rsid w:val="0048488C"/>
    <w:rsid w:val="00497314"/>
    <w:rsid w:val="004A6CC5"/>
    <w:rsid w:val="004B04AE"/>
    <w:rsid w:val="004B1326"/>
    <w:rsid w:val="004D009B"/>
    <w:rsid w:val="004D23EE"/>
    <w:rsid w:val="004D2C1C"/>
    <w:rsid w:val="004F5746"/>
    <w:rsid w:val="004F7245"/>
    <w:rsid w:val="00500572"/>
    <w:rsid w:val="00504793"/>
    <w:rsid w:val="00505DA8"/>
    <w:rsid w:val="005152EE"/>
    <w:rsid w:val="00521AA6"/>
    <w:rsid w:val="00542F23"/>
    <w:rsid w:val="00550119"/>
    <w:rsid w:val="00551788"/>
    <w:rsid w:val="005535B0"/>
    <w:rsid w:val="0056688A"/>
    <w:rsid w:val="00577381"/>
    <w:rsid w:val="00585EB8"/>
    <w:rsid w:val="00592D6B"/>
    <w:rsid w:val="00594356"/>
    <w:rsid w:val="005A0E20"/>
    <w:rsid w:val="005B553B"/>
    <w:rsid w:val="005B55FD"/>
    <w:rsid w:val="005B7759"/>
    <w:rsid w:val="005C6A12"/>
    <w:rsid w:val="005D20BD"/>
    <w:rsid w:val="005D6854"/>
    <w:rsid w:val="005E1184"/>
    <w:rsid w:val="005E41AF"/>
    <w:rsid w:val="005E706B"/>
    <w:rsid w:val="005F6534"/>
    <w:rsid w:val="0060256A"/>
    <w:rsid w:val="006050A9"/>
    <w:rsid w:val="00616610"/>
    <w:rsid w:val="00617305"/>
    <w:rsid w:val="00634A99"/>
    <w:rsid w:val="00640862"/>
    <w:rsid w:val="0064116A"/>
    <w:rsid w:val="00643AD5"/>
    <w:rsid w:val="00655865"/>
    <w:rsid w:val="00655E5F"/>
    <w:rsid w:val="00662073"/>
    <w:rsid w:val="00667E41"/>
    <w:rsid w:val="00680BB2"/>
    <w:rsid w:val="006A0D62"/>
    <w:rsid w:val="006A711D"/>
    <w:rsid w:val="006B1909"/>
    <w:rsid w:val="006B3763"/>
    <w:rsid w:val="006D4849"/>
    <w:rsid w:val="006D6A90"/>
    <w:rsid w:val="006E4178"/>
    <w:rsid w:val="006F1CBF"/>
    <w:rsid w:val="006F6595"/>
    <w:rsid w:val="00703546"/>
    <w:rsid w:val="00710701"/>
    <w:rsid w:val="0071462C"/>
    <w:rsid w:val="007319D3"/>
    <w:rsid w:val="00741582"/>
    <w:rsid w:val="00742F07"/>
    <w:rsid w:val="00753E9C"/>
    <w:rsid w:val="00753EE7"/>
    <w:rsid w:val="00764BB1"/>
    <w:rsid w:val="00765D8F"/>
    <w:rsid w:val="007662E5"/>
    <w:rsid w:val="00773EE8"/>
    <w:rsid w:val="007920CF"/>
    <w:rsid w:val="00792939"/>
    <w:rsid w:val="00793AF6"/>
    <w:rsid w:val="00794B4C"/>
    <w:rsid w:val="00794D8F"/>
    <w:rsid w:val="007A085F"/>
    <w:rsid w:val="007C0B49"/>
    <w:rsid w:val="007C40F2"/>
    <w:rsid w:val="007C48AB"/>
    <w:rsid w:val="007C6CAB"/>
    <w:rsid w:val="007D63A4"/>
    <w:rsid w:val="007E0913"/>
    <w:rsid w:val="007E7798"/>
    <w:rsid w:val="007F2CAB"/>
    <w:rsid w:val="0080317E"/>
    <w:rsid w:val="008073B2"/>
    <w:rsid w:val="008102AD"/>
    <w:rsid w:val="00815851"/>
    <w:rsid w:val="0082212F"/>
    <w:rsid w:val="00832ADB"/>
    <w:rsid w:val="0083711D"/>
    <w:rsid w:val="00837B3F"/>
    <w:rsid w:val="00837C0E"/>
    <w:rsid w:val="00842647"/>
    <w:rsid w:val="0084464C"/>
    <w:rsid w:val="008518E8"/>
    <w:rsid w:val="00862106"/>
    <w:rsid w:val="008719A1"/>
    <w:rsid w:val="00876E32"/>
    <w:rsid w:val="00880789"/>
    <w:rsid w:val="00887983"/>
    <w:rsid w:val="0089419D"/>
    <w:rsid w:val="008B5F1F"/>
    <w:rsid w:val="008C1D9B"/>
    <w:rsid w:val="008C2458"/>
    <w:rsid w:val="008C288C"/>
    <w:rsid w:val="008E2200"/>
    <w:rsid w:val="008E57B1"/>
    <w:rsid w:val="008F1C1B"/>
    <w:rsid w:val="008F34FA"/>
    <w:rsid w:val="008F5E12"/>
    <w:rsid w:val="00900D80"/>
    <w:rsid w:val="0090154D"/>
    <w:rsid w:val="00901FBD"/>
    <w:rsid w:val="00903CE5"/>
    <w:rsid w:val="00905DB1"/>
    <w:rsid w:val="009115DA"/>
    <w:rsid w:val="00911EF0"/>
    <w:rsid w:val="00913FF1"/>
    <w:rsid w:val="00915C5B"/>
    <w:rsid w:val="00930306"/>
    <w:rsid w:val="00931262"/>
    <w:rsid w:val="0093245F"/>
    <w:rsid w:val="009405D2"/>
    <w:rsid w:val="009443F8"/>
    <w:rsid w:val="00947794"/>
    <w:rsid w:val="009646F4"/>
    <w:rsid w:val="0097141D"/>
    <w:rsid w:val="009772C2"/>
    <w:rsid w:val="00977752"/>
    <w:rsid w:val="009802AE"/>
    <w:rsid w:val="00982B1C"/>
    <w:rsid w:val="009A6309"/>
    <w:rsid w:val="009A6D15"/>
    <w:rsid w:val="009B2769"/>
    <w:rsid w:val="009B32F1"/>
    <w:rsid w:val="009B605B"/>
    <w:rsid w:val="009C43B9"/>
    <w:rsid w:val="009D3EE8"/>
    <w:rsid w:val="009D4F41"/>
    <w:rsid w:val="009E2E5B"/>
    <w:rsid w:val="009E4906"/>
    <w:rsid w:val="009E6F64"/>
    <w:rsid w:val="009F2C38"/>
    <w:rsid w:val="00A058A8"/>
    <w:rsid w:val="00A07AD9"/>
    <w:rsid w:val="00A10059"/>
    <w:rsid w:val="00A122D6"/>
    <w:rsid w:val="00A3396D"/>
    <w:rsid w:val="00A416DF"/>
    <w:rsid w:val="00A42AB2"/>
    <w:rsid w:val="00A44F18"/>
    <w:rsid w:val="00A50C48"/>
    <w:rsid w:val="00A50D62"/>
    <w:rsid w:val="00A5354F"/>
    <w:rsid w:val="00A65AA1"/>
    <w:rsid w:val="00A663C1"/>
    <w:rsid w:val="00A75939"/>
    <w:rsid w:val="00A768C8"/>
    <w:rsid w:val="00A833E5"/>
    <w:rsid w:val="00A939A1"/>
    <w:rsid w:val="00AA677D"/>
    <w:rsid w:val="00AB2475"/>
    <w:rsid w:val="00AB50B6"/>
    <w:rsid w:val="00AC0CF0"/>
    <w:rsid w:val="00AC26B1"/>
    <w:rsid w:val="00AC411B"/>
    <w:rsid w:val="00AD317C"/>
    <w:rsid w:val="00AD6CA7"/>
    <w:rsid w:val="00AE0166"/>
    <w:rsid w:val="00AE05ED"/>
    <w:rsid w:val="00AE0CE4"/>
    <w:rsid w:val="00AF0F35"/>
    <w:rsid w:val="00AF40D4"/>
    <w:rsid w:val="00AF6AA3"/>
    <w:rsid w:val="00B00801"/>
    <w:rsid w:val="00B029E5"/>
    <w:rsid w:val="00B24989"/>
    <w:rsid w:val="00B24D22"/>
    <w:rsid w:val="00B27329"/>
    <w:rsid w:val="00B35692"/>
    <w:rsid w:val="00B36E5A"/>
    <w:rsid w:val="00B37520"/>
    <w:rsid w:val="00B50D81"/>
    <w:rsid w:val="00B51440"/>
    <w:rsid w:val="00B62FE1"/>
    <w:rsid w:val="00B63FCC"/>
    <w:rsid w:val="00B6767F"/>
    <w:rsid w:val="00B67CE0"/>
    <w:rsid w:val="00B71645"/>
    <w:rsid w:val="00B72E16"/>
    <w:rsid w:val="00B765AD"/>
    <w:rsid w:val="00BA33EF"/>
    <w:rsid w:val="00BA47DE"/>
    <w:rsid w:val="00BB6524"/>
    <w:rsid w:val="00BB65BB"/>
    <w:rsid w:val="00BC1566"/>
    <w:rsid w:val="00BD1271"/>
    <w:rsid w:val="00BF4B57"/>
    <w:rsid w:val="00C009B7"/>
    <w:rsid w:val="00C10FE4"/>
    <w:rsid w:val="00C1211B"/>
    <w:rsid w:val="00C1784F"/>
    <w:rsid w:val="00C1799A"/>
    <w:rsid w:val="00C24954"/>
    <w:rsid w:val="00C24FB2"/>
    <w:rsid w:val="00C25260"/>
    <w:rsid w:val="00C41460"/>
    <w:rsid w:val="00C436ED"/>
    <w:rsid w:val="00C43C30"/>
    <w:rsid w:val="00C44EB0"/>
    <w:rsid w:val="00C4597B"/>
    <w:rsid w:val="00C52A51"/>
    <w:rsid w:val="00C60F13"/>
    <w:rsid w:val="00C66952"/>
    <w:rsid w:val="00C718F7"/>
    <w:rsid w:val="00C93666"/>
    <w:rsid w:val="00CA53DA"/>
    <w:rsid w:val="00CB0A67"/>
    <w:rsid w:val="00CC2A4D"/>
    <w:rsid w:val="00CD5D89"/>
    <w:rsid w:val="00CD69DE"/>
    <w:rsid w:val="00CD79E3"/>
    <w:rsid w:val="00CF1B0D"/>
    <w:rsid w:val="00CF6606"/>
    <w:rsid w:val="00D01B34"/>
    <w:rsid w:val="00D26C2E"/>
    <w:rsid w:val="00D5000D"/>
    <w:rsid w:val="00D63764"/>
    <w:rsid w:val="00D74586"/>
    <w:rsid w:val="00D80321"/>
    <w:rsid w:val="00D83D37"/>
    <w:rsid w:val="00D90999"/>
    <w:rsid w:val="00D93D8D"/>
    <w:rsid w:val="00D96409"/>
    <w:rsid w:val="00DA13CA"/>
    <w:rsid w:val="00DC06B9"/>
    <w:rsid w:val="00DC2944"/>
    <w:rsid w:val="00DC61C6"/>
    <w:rsid w:val="00DD2FC4"/>
    <w:rsid w:val="00DD4C01"/>
    <w:rsid w:val="00DE6E4D"/>
    <w:rsid w:val="00DF1E7E"/>
    <w:rsid w:val="00DF234B"/>
    <w:rsid w:val="00DF2971"/>
    <w:rsid w:val="00E169A3"/>
    <w:rsid w:val="00E268FB"/>
    <w:rsid w:val="00E45892"/>
    <w:rsid w:val="00E623B8"/>
    <w:rsid w:val="00E6703C"/>
    <w:rsid w:val="00E73A7F"/>
    <w:rsid w:val="00E8183E"/>
    <w:rsid w:val="00E84769"/>
    <w:rsid w:val="00E87628"/>
    <w:rsid w:val="00E93156"/>
    <w:rsid w:val="00E97FDA"/>
    <w:rsid w:val="00EA7F3B"/>
    <w:rsid w:val="00EB2D11"/>
    <w:rsid w:val="00EB51E8"/>
    <w:rsid w:val="00EC1749"/>
    <w:rsid w:val="00ED1D15"/>
    <w:rsid w:val="00EF4455"/>
    <w:rsid w:val="00F001F1"/>
    <w:rsid w:val="00F03808"/>
    <w:rsid w:val="00F074D0"/>
    <w:rsid w:val="00F1463D"/>
    <w:rsid w:val="00F14808"/>
    <w:rsid w:val="00F210E8"/>
    <w:rsid w:val="00F25C14"/>
    <w:rsid w:val="00F26CA3"/>
    <w:rsid w:val="00F418A6"/>
    <w:rsid w:val="00F52870"/>
    <w:rsid w:val="00F60F45"/>
    <w:rsid w:val="00F66107"/>
    <w:rsid w:val="00F670E9"/>
    <w:rsid w:val="00F77A23"/>
    <w:rsid w:val="00F841DE"/>
    <w:rsid w:val="00F90BA3"/>
    <w:rsid w:val="00F93EEC"/>
    <w:rsid w:val="00F975E5"/>
    <w:rsid w:val="00FA5CA1"/>
    <w:rsid w:val="00FB0725"/>
    <w:rsid w:val="00FB1FF6"/>
    <w:rsid w:val="00FB6B29"/>
    <w:rsid w:val="00FC060F"/>
    <w:rsid w:val="00FC3803"/>
    <w:rsid w:val="00FE4A0D"/>
    <w:rsid w:val="00FE4EF8"/>
    <w:rsid w:val="00FE7B6F"/>
    <w:rsid w:val="00FF2F88"/>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3EE"/>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94D8F"/>
    <w:pPr>
      <w:ind w:left="720"/>
      <w:contextualSpacing/>
    </w:pPr>
  </w:style>
  <w:style w:type="paragraph" w:styleId="Textedebulles">
    <w:name w:val="Balloon Text"/>
    <w:basedOn w:val="Normal"/>
    <w:link w:val="TextedebullesCar"/>
    <w:semiHidden/>
    <w:unhideWhenUsed/>
    <w:rsid w:val="009E4906"/>
    <w:rPr>
      <w:rFonts w:ascii="Segoe UI" w:hAnsi="Segoe UI" w:cs="Segoe UI"/>
      <w:sz w:val="18"/>
      <w:szCs w:val="18"/>
    </w:rPr>
  </w:style>
  <w:style w:type="character" w:customStyle="1" w:styleId="TextedebullesCar">
    <w:name w:val="Texte de bulles Car"/>
    <w:basedOn w:val="Policepardfaut"/>
    <w:link w:val="Textedebulles"/>
    <w:semiHidden/>
    <w:rsid w:val="009E4906"/>
    <w:rPr>
      <w:rFonts w:ascii="Segoe UI" w:hAnsi="Segoe UI" w:cs="Segoe UI"/>
      <w:sz w:val="18"/>
      <w:szCs w:val="18"/>
    </w:rPr>
  </w:style>
  <w:style w:type="paragraph" w:styleId="En-tte">
    <w:name w:val="header"/>
    <w:basedOn w:val="Normal"/>
    <w:link w:val="En-tteCar"/>
    <w:unhideWhenUsed/>
    <w:rsid w:val="009D3EE8"/>
    <w:pPr>
      <w:tabs>
        <w:tab w:val="center" w:pos="4536"/>
        <w:tab w:val="right" w:pos="9072"/>
      </w:tabs>
    </w:pPr>
  </w:style>
  <w:style w:type="character" w:customStyle="1" w:styleId="En-tteCar">
    <w:name w:val="En-tête Car"/>
    <w:basedOn w:val="Policepardfaut"/>
    <w:link w:val="En-tte"/>
    <w:rsid w:val="009D3EE8"/>
    <w:rPr>
      <w:sz w:val="24"/>
      <w:szCs w:val="24"/>
    </w:rPr>
  </w:style>
  <w:style w:type="paragraph" w:styleId="Pieddepage">
    <w:name w:val="footer"/>
    <w:basedOn w:val="Normal"/>
    <w:link w:val="PieddepageCar"/>
    <w:uiPriority w:val="99"/>
    <w:unhideWhenUsed/>
    <w:rsid w:val="009D3EE8"/>
    <w:pPr>
      <w:tabs>
        <w:tab w:val="center" w:pos="4536"/>
        <w:tab w:val="right" w:pos="9072"/>
      </w:tabs>
    </w:pPr>
  </w:style>
  <w:style w:type="character" w:customStyle="1" w:styleId="PieddepageCar">
    <w:name w:val="Pied de page Car"/>
    <w:basedOn w:val="Policepardfaut"/>
    <w:link w:val="Pieddepage"/>
    <w:uiPriority w:val="99"/>
    <w:rsid w:val="009D3EE8"/>
    <w:rPr>
      <w:sz w:val="24"/>
      <w:szCs w:val="24"/>
    </w:rPr>
  </w:style>
  <w:style w:type="character" w:styleId="Marquedecommentaire">
    <w:name w:val="annotation reference"/>
    <w:basedOn w:val="Policepardfaut"/>
    <w:semiHidden/>
    <w:unhideWhenUsed/>
    <w:rsid w:val="00F975E5"/>
    <w:rPr>
      <w:sz w:val="16"/>
      <w:szCs w:val="16"/>
    </w:rPr>
  </w:style>
  <w:style w:type="paragraph" w:styleId="Commentaire">
    <w:name w:val="annotation text"/>
    <w:basedOn w:val="Normal"/>
    <w:link w:val="CommentaireCar"/>
    <w:semiHidden/>
    <w:unhideWhenUsed/>
    <w:rsid w:val="00F975E5"/>
    <w:rPr>
      <w:sz w:val="20"/>
      <w:szCs w:val="20"/>
    </w:rPr>
  </w:style>
  <w:style w:type="character" w:customStyle="1" w:styleId="CommentaireCar">
    <w:name w:val="Commentaire Car"/>
    <w:basedOn w:val="Policepardfaut"/>
    <w:link w:val="Commentaire"/>
    <w:semiHidden/>
    <w:rsid w:val="00F975E5"/>
  </w:style>
  <w:style w:type="paragraph" w:styleId="Objetducommentaire">
    <w:name w:val="annotation subject"/>
    <w:basedOn w:val="Commentaire"/>
    <w:next w:val="Commentaire"/>
    <w:link w:val="ObjetducommentaireCar"/>
    <w:semiHidden/>
    <w:unhideWhenUsed/>
    <w:rsid w:val="00F975E5"/>
    <w:rPr>
      <w:b/>
      <w:bCs/>
    </w:rPr>
  </w:style>
  <w:style w:type="character" w:customStyle="1" w:styleId="ObjetducommentaireCar">
    <w:name w:val="Objet du commentaire Car"/>
    <w:basedOn w:val="CommentaireCar"/>
    <w:link w:val="Objetducommentaire"/>
    <w:semiHidden/>
    <w:rsid w:val="00F975E5"/>
    <w:rPr>
      <w:b/>
      <w:bCs/>
    </w:rPr>
  </w:style>
  <w:style w:type="paragraph" w:styleId="Rvision">
    <w:name w:val="Revision"/>
    <w:hidden/>
    <w:uiPriority w:val="99"/>
    <w:semiHidden/>
    <w:rsid w:val="00E169A3"/>
    <w:rPr>
      <w:sz w:val="24"/>
      <w:szCs w:val="24"/>
    </w:rPr>
  </w:style>
  <w:style w:type="character" w:styleId="Accentuation">
    <w:name w:val="Emphasis"/>
    <w:basedOn w:val="Policepardfaut"/>
    <w:qFormat/>
    <w:rsid w:val="0083711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3EE"/>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94D8F"/>
    <w:pPr>
      <w:ind w:left="720"/>
      <w:contextualSpacing/>
    </w:pPr>
  </w:style>
  <w:style w:type="paragraph" w:styleId="Textedebulles">
    <w:name w:val="Balloon Text"/>
    <w:basedOn w:val="Normal"/>
    <w:link w:val="TextedebullesCar"/>
    <w:semiHidden/>
    <w:unhideWhenUsed/>
    <w:rsid w:val="009E4906"/>
    <w:rPr>
      <w:rFonts w:ascii="Segoe UI" w:hAnsi="Segoe UI" w:cs="Segoe UI"/>
      <w:sz w:val="18"/>
      <w:szCs w:val="18"/>
    </w:rPr>
  </w:style>
  <w:style w:type="character" w:customStyle="1" w:styleId="TextedebullesCar">
    <w:name w:val="Texte de bulles Car"/>
    <w:basedOn w:val="Policepardfaut"/>
    <w:link w:val="Textedebulles"/>
    <w:semiHidden/>
    <w:rsid w:val="009E4906"/>
    <w:rPr>
      <w:rFonts w:ascii="Segoe UI" w:hAnsi="Segoe UI" w:cs="Segoe UI"/>
      <w:sz w:val="18"/>
      <w:szCs w:val="18"/>
    </w:rPr>
  </w:style>
  <w:style w:type="paragraph" w:styleId="En-tte">
    <w:name w:val="header"/>
    <w:basedOn w:val="Normal"/>
    <w:link w:val="En-tteCar"/>
    <w:unhideWhenUsed/>
    <w:rsid w:val="009D3EE8"/>
    <w:pPr>
      <w:tabs>
        <w:tab w:val="center" w:pos="4536"/>
        <w:tab w:val="right" w:pos="9072"/>
      </w:tabs>
    </w:pPr>
  </w:style>
  <w:style w:type="character" w:customStyle="1" w:styleId="En-tteCar">
    <w:name w:val="En-tête Car"/>
    <w:basedOn w:val="Policepardfaut"/>
    <w:link w:val="En-tte"/>
    <w:rsid w:val="009D3EE8"/>
    <w:rPr>
      <w:sz w:val="24"/>
      <w:szCs w:val="24"/>
    </w:rPr>
  </w:style>
  <w:style w:type="paragraph" w:styleId="Pieddepage">
    <w:name w:val="footer"/>
    <w:basedOn w:val="Normal"/>
    <w:link w:val="PieddepageCar"/>
    <w:uiPriority w:val="99"/>
    <w:unhideWhenUsed/>
    <w:rsid w:val="009D3EE8"/>
    <w:pPr>
      <w:tabs>
        <w:tab w:val="center" w:pos="4536"/>
        <w:tab w:val="right" w:pos="9072"/>
      </w:tabs>
    </w:pPr>
  </w:style>
  <w:style w:type="character" w:customStyle="1" w:styleId="PieddepageCar">
    <w:name w:val="Pied de page Car"/>
    <w:basedOn w:val="Policepardfaut"/>
    <w:link w:val="Pieddepage"/>
    <w:uiPriority w:val="99"/>
    <w:rsid w:val="009D3EE8"/>
    <w:rPr>
      <w:sz w:val="24"/>
      <w:szCs w:val="24"/>
    </w:rPr>
  </w:style>
  <w:style w:type="character" w:styleId="Marquedecommentaire">
    <w:name w:val="annotation reference"/>
    <w:basedOn w:val="Policepardfaut"/>
    <w:semiHidden/>
    <w:unhideWhenUsed/>
    <w:rsid w:val="00F975E5"/>
    <w:rPr>
      <w:sz w:val="16"/>
      <w:szCs w:val="16"/>
    </w:rPr>
  </w:style>
  <w:style w:type="paragraph" w:styleId="Commentaire">
    <w:name w:val="annotation text"/>
    <w:basedOn w:val="Normal"/>
    <w:link w:val="CommentaireCar"/>
    <w:semiHidden/>
    <w:unhideWhenUsed/>
    <w:rsid w:val="00F975E5"/>
    <w:rPr>
      <w:sz w:val="20"/>
      <w:szCs w:val="20"/>
    </w:rPr>
  </w:style>
  <w:style w:type="character" w:customStyle="1" w:styleId="CommentaireCar">
    <w:name w:val="Commentaire Car"/>
    <w:basedOn w:val="Policepardfaut"/>
    <w:link w:val="Commentaire"/>
    <w:semiHidden/>
    <w:rsid w:val="00F975E5"/>
  </w:style>
  <w:style w:type="paragraph" w:styleId="Objetducommentaire">
    <w:name w:val="annotation subject"/>
    <w:basedOn w:val="Commentaire"/>
    <w:next w:val="Commentaire"/>
    <w:link w:val="ObjetducommentaireCar"/>
    <w:semiHidden/>
    <w:unhideWhenUsed/>
    <w:rsid w:val="00F975E5"/>
    <w:rPr>
      <w:b/>
      <w:bCs/>
    </w:rPr>
  </w:style>
  <w:style w:type="character" w:customStyle="1" w:styleId="ObjetducommentaireCar">
    <w:name w:val="Objet du commentaire Car"/>
    <w:basedOn w:val="CommentaireCar"/>
    <w:link w:val="Objetducommentaire"/>
    <w:semiHidden/>
    <w:rsid w:val="00F975E5"/>
    <w:rPr>
      <w:b/>
      <w:bCs/>
    </w:rPr>
  </w:style>
  <w:style w:type="paragraph" w:styleId="Rvision">
    <w:name w:val="Revision"/>
    <w:hidden/>
    <w:uiPriority w:val="99"/>
    <w:semiHidden/>
    <w:rsid w:val="00E169A3"/>
    <w:rPr>
      <w:sz w:val="24"/>
      <w:szCs w:val="24"/>
    </w:rPr>
  </w:style>
  <w:style w:type="character" w:styleId="Accentuation">
    <w:name w:val="Emphasis"/>
    <w:basedOn w:val="Policepardfaut"/>
    <w:qFormat/>
    <w:rsid w:val="008371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635463">
      <w:bodyDiv w:val="1"/>
      <w:marLeft w:val="0"/>
      <w:marRight w:val="0"/>
      <w:marTop w:val="0"/>
      <w:marBottom w:val="0"/>
      <w:divBdr>
        <w:top w:val="none" w:sz="0" w:space="0" w:color="auto"/>
        <w:left w:val="none" w:sz="0" w:space="0" w:color="auto"/>
        <w:bottom w:val="none" w:sz="0" w:space="0" w:color="auto"/>
        <w:right w:val="none" w:sz="0" w:space="0" w:color="auto"/>
      </w:divBdr>
    </w:div>
    <w:div w:id="133132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5A4F7-F5AD-4BFD-9864-308A5AA19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1522</Words>
  <Characters>8863</Characters>
  <Application>Microsoft Office Word</Application>
  <DocSecurity>0</DocSecurity>
  <Lines>73</Lines>
  <Paragraphs>20</Paragraphs>
  <ScaleCrop>false</ScaleCrop>
  <HeadingPairs>
    <vt:vector size="10" baseType="variant">
      <vt:variant>
        <vt:lpstr>Titre</vt:lpstr>
      </vt:variant>
      <vt:variant>
        <vt:i4>1</vt:i4>
      </vt:variant>
      <vt:variant>
        <vt:lpstr>Title</vt:lpstr>
      </vt:variant>
      <vt:variant>
        <vt:i4>1</vt:i4>
      </vt:variant>
      <vt:variant>
        <vt:lpstr>Titolo</vt:lpstr>
      </vt:variant>
      <vt:variant>
        <vt:i4>1</vt:i4>
      </vt:variant>
      <vt:variant>
        <vt:lpstr>Titel</vt:lpstr>
      </vt:variant>
      <vt:variant>
        <vt:i4>1</vt:i4>
      </vt:variant>
      <vt:variant>
        <vt:lpstr>Tytuł</vt:lpstr>
      </vt:variant>
      <vt:variant>
        <vt:i4>1</vt:i4>
      </vt:variant>
    </vt:vector>
  </HeadingPairs>
  <TitlesOfParts>
    <vt:vector size="5" baseType="lpstr">
      <vt:lpstr/>
      <vt:lpstr/>
      <vt:lpstr/>
      <vt:lpstr/>
      <vt:lpstr/>
    </vt:vector>
  </TitlesOfParts>
  <Company>Land Hessen</Company>
  <LinksUpToDate>false</LinksUpToDate>
  <CharactersWithSpaces>10365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Dubois, Laura (LV-Brüssel)</dc:creator>
  <cp:lastModifiedBy>Marion Chauveau</cp:lastModifiedBy>
  <cp:revision>2</cp:revision>
  <cp:lastPrinted>2018-01-18T13:45:00Z</cp:lastPrinted>
  <dcterms:created xsi:type="dcterms:W3CDTF">2018-01-18T14:44:00Z</dcterms:created>
  <dcterms:modified xsi:type="dcterms:W3CDTF">2018-01-18T14:44:00Z</dcterms:modified>
</cp:coreProperties>
</file>