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D4219" w14:textId="77777777" w:rsidR="00EC3DDE" w:rsidRDefault="00EC3DDE" w:rsidP="00EC3DDE">
      <w:pPr>
        <w:pStyle w:val="NormalWeb"/>
        <w:spacing w:line="256" w:lineRule="auto"/>
        <w:jc w:val="center"/>
      </w:pPr>
      <w:r>
        <w:rPr>
          <w:b/>
          <w:bCs/>
          <w:color w:val="ED1C24"/>
          <w:sz w:val="36"/>
          <w:szCs w:val="36"/>
        </w:rPr>
        <w:t xml:space="preserve">Crise sanitaire : Les fonds européens pour soutenir des mesures d’urgence en Nouvelle-Aquitaine </w:t>
      </w:r>
    </w:p>
    <w:p w14:paraId="195D7361" w14:textId="77777777" w:rsidR="00EC3DDE" w:rsidRDefault="00EC3DDE" w:rsidP="00EC3DDE">
      <w:pPr>
        <w:pStyle w:val="NormalWeb"/>
        <w:spacing w:after="240" w:line="256" w:lineRule="auto"/>
      </w:pPr>
    </w:p>
    <w:p w14:paraId="491E41E1" w14:textId="6995E71C" w:rsidR="007D5FDE" w:rsidRPr="004C756A" w:rsidRDefault="007D5FDE" w:rsidP="004C756A">
      <w:pPr>
        <w:pStyle w:val="NormalWeb"/>
        <w:spacing w:line="240" w:lineRule="auto"/>
        <w:rPr>
          <w:rFonts w:asciiTheme="minorHAnsi" w:hAnsiTheme="minorHAnsi" w:cstheme="minorHAnsi"/>
        </w:rPr>
      </w:pPr>
      <w:r w:rsidRPr="004C756A">
        <w:rPr>
          <w:rFonts w:asciiTheme="minorHAnsi" w:hAnsiTheme="minorHAnsi" w:cstheme="minorHAnsi"/>
          <w:color w:val="000000"/>
        </w:rPr>
        <w:t>Afin de faire face à la pandémie d</w:t>
      </w:r>
      <w:r w:rsidR="003532D2" w:rsidRPr="004C756A">
        <w:rPr>
          <w:rFonts w:asciiTheme="minorHAnsi" w:hAnsiTheme="minorHAnsi" w:cstheme="minorHAnsi"/>
          <w:color w:val="000000"/>
        </w:rPr>
        <w:t>e la</w:t>
      </w:r>
      <w:r w:rsidRPr="004C756A">
        <w:rPr>
          <w:rFonts w:asciiTheme="minorHAnsi" w:hAnsiTheme="minorHAnsi" w:cstheme="minorHAnsi"/>
          <w:color w:val="000000"/>
        </w:rPr>
        <w:t xml:space="preserve"> COVID-19 qui frappe l’Europe depuis plusieurs m</w:t>
      </w:r>
      <w:r w:rsidR="003532D2" w:rsidRPr="004C756A">
        <w:rPr>
          <w:rFonts w:asciiTheme="minorHAnsi" w:hAnsiTheme="minorHAnsi" w:cstheme="minorHAnsi"/>
          <w:color w:val="000000"/>
        </w:rPr>
        <w:t xml:space="preserve">ois, la Commission européenne permet </w:t>
      </w:r>
      <w:r w:rsidRPr="004C756A">
        <w:rPr>
          <w:rFonts w:asciiTheme="minorHAnsi" w:hAnsiTheme="minorHAnsi" w:cstheme="minorHAnsi"/>
          <w:color w:val="000000"/>
        </w:rPr>
        <w:t>aux États membres, outre des mesures d’assouplissement réglementaire de la gestion des fonds européens, la mobilisation des crédits européens pour de nouvelles opérations.</w:t>
      </w:r>
    </w:p>
    <w:p w14:paraId="65037139" w14:textId="46E9A1EB" w:rsidR="004C756A" w:rsidRPr="004C756A" w:rsidRDefault="007D5FDE" w:rsidP="004C756A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4C756A">
        <w:rPr>
          <w:rFonts w:cstheme="minorHAnsi"/>
          <w:color w:val="000000"/>
          <w:sz w:val="24"/>
          <w:szCs w:val="24"/>
        </w:rPr>
        <w:t xml:space="preserve">Ainsi, après un travail d’identification des crédits européens disponibles et des échanges avec la Commission européenne dans le cadre du dispositif </w:t>
      </w:r>
      <w:r w:rsidRPr="004C756A">
        <w:rPr>
          <w:rFonts w:cstheme="minorHAnsi"/>
          <w:b/>
          <w:color w:val="000000"/>
          <w:sz w:val="24"/>
          <w:szCs w:val="24"/>
        </w:rPr>
        <w:t>« Initiative d’investissement en réaction au Coronavirus» (CRII)</w:t>
      </w:r>
      <w:r w:rsidRPr="004C756A">
        <w:rPr>
          <w:rFonts w:cstheme="minorHAnsi"/>
          <w:color w:val="000000"/>
          <w:sz w:val="24"/>
          <w:szCs w:val="24"/>
        </w:rPr>
        <w:t xml:space="preserve">, la Région Nouvelle-Aquitaine et ses partenaires territoriaux ont décidé de mobiliser </w:t>
      </w:r>
      <w:r w:rsidRPr="004C756A">
        <w:rPr>
          <w:rFonts w:cstheme="minorHAnsi"/>
          <w:b/>
          <w:color w:val="000000"/>
          <w:sz w:val="24"/>
          <w:szCs w:val="24"/>
        </w:rPr>
        <w:t>7,45 millions d’euros</w:t>
      </w:r>
      <w:r w:rsidRPr="004C756A">
        <w:rPr>
          <w:rFonts w:cstheme="minorHAnsi"/>
          <w:color w:val="000000"/>
          <w:sz w:val="24"/>
          <w:szCs w:val="24"/>
        </w:rPr>
        <w:t xml:space="preserve"> pour prendre en charge les </w:t>
      </w:r>
      <w:r w:rsidRPr="004C756A">
        <w:rPr>
          <w:rFonts w:cstheme="minorHAnsi"/>
          <w:b/>
          <w:color w:val="000000"/>
          <w:sz w:val="24"/>
          <w:szCs w:val="24"/>
        </w:rPr>
        <w:t>dépenses d’achats de masques et d’équipements de protection</w:t>
      </w:r>
      <w:r w:rsidRPr="004C756A">
        <w:rPr>
          <w:rFonts w:cstheme="minorHAnsi"/>
          <w:color w:val="000000"/>
          <w:sz w:val="24"/>
          <w:szCs w:val="24"/>
        </w:rPr>
        <w:t xml:space="preserve"> </w:t>
      </w:r>
      <w:r w:rsidR="00635623" w:rsidRPr="0041502F">
        <w:rPr>
          <w:rFonts w:cstheme="minorHAnsi"/>
          <w:b/>
          <w:color w:val="000000"/>
          <w:sz w:val="24"/>
          <w:szCs w:val="24"/>
        </w:rPr>
        <w:t>individuelle</w:t>
      </w:r>
      <w:r w:rsidR="00635623">
        <w:rPr>
          <w:rFonts w:cstheme="minorHAnsi"/>
          <w:color w:val="000000"/>
          <w:sz w:val="24"/>
          <w:szCs w:val="24"/>
        </w:rPr>
        <w:t xml:space="preserve"> </w:t>
      </w:r>
      <w:r w:rsidR="003532D2" w:rsidRPr="004C756A">
        <w:rPr>
          <w:rFonts w:cstheme="minorHAnsi"/>
          <w:sz w:val="24"/>
          <w:szCs w:val="24"/>
        </w:rPr>
        <w:t xml:space="preserve">engagées </w:t>
      </w:r>
      <w:r w:rsidR="006815FF">
        <w:rPr>
          <w:rFonts w:cstheme="minorHAnsi"/>
          <w:sz w:val="24"/>
          <w:szCs w:val="24"/>
        </w:rPr>
        <w:t>dès le</w:t>
      </w:r>
      <w:r w:rsidR="003532D2" w:rsidRPr="004C756A">
        <w:rPr>
          <w:rFonts w:cstheme="minorHAnsi"/>
          <w:sz w:val="24"/>
          <w:szCs w:val="24"/>
        </w:rPr>
        <w:t xml:space="preserve"> début de la crise  par les collectivités</w:t>
      </w:r>
      <w:r w:rsidRPr="004C756A">
        <w:rPr>
          <w:rFonts w:cstheme="minorHAnsi"/>
          <w:color w:val="000000"/>
          <w:sz w:val="24"/>
          <w:szCs w:val="24"/>
        </w:rPr>
        <w:t>.</w:t>
      </w:r>
      <w:r w:rsidRPr="004C756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</w:p>
    <w:p w14:paraId="334B2C3A" w14:textId="05F1FDE3" w:rsidR="003532D2" w:rsidRPr="004C756A" w:rsidRDefault="003532D2" w:rsidP="004C756A">
      <w:pPr>
        <w:rPr>
          <w:rFonts w:cstheme="minorHAnsi"/>
          <w:color w:val="0070C0"/>
          <w:sz w:val="24"/>
          <w:szCs w:val="24"/>
        </w:rPr>
      </w:pPr>
      <w:r w:rsidRPr="004C756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A cette fin, la Région Nouvelle-Aquitaine a </w:t>
      </w:r>
      <w:r w:rsidR="00635623">
        <w:rPr>
          <w:rFonts w:eastAsia="Times New Roman" w:cstheme="minorHAnsi"/>
          <w:color w:val="000000"/>
          <w:sz w:val="24"/>
          <w:szCs w:val="24"/>
          <w:lang w:eastAsia="fr-FR"/>
        </w:rPr>
        <w:t>intégré</w:t>
      </w:r>
      <w:r w:rsidRPr="004C756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un axe spécifique « Soutenir les services publics face à la crise de la COVID-19 afin de préserver leurs accès à tous » dans les 3 programmes opérationnels FEDER-FSE 2014-2020 Aquitaine, Limousin et Poitou-Charentes.</w:t>
      </w:r>
      <w:r w:rsidR="00635623" w:rsidRPr="002572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La Commission européenne a validé ces modifications les 26 et 28 ao</w:t>
      </w:r>
      <w:r w:rsidR="0041502F">
        <w:rPr>
          <w:rFonts w:eastAsia="Times New Roman" w:cstheme="minorHAnsi"/>
          <w:color w:val="000000"/>
          <w:sz w:val="24"/>
          <w:szCs w:val="24"/>
          <w:lang w:eastAsia="fr-FR"/>
        </w:rPr>
        <w:t>û</w:t>
      </w:r>
      <w:r w:rsidR="00635623" w:rsidRPr="00257255">
        <w:rPr>
          <w:rFonts w:eastAsia="Times New Roman" w:cstheme="minorHAnsi"/>
          <w:color w:val="000000"/>
          <w:sz w:val="24"/>
          <w:szCs w:val="24"/>
          <w:lang w:eastAsia="fr-FR"/>
        </w:rPr>
        <w:t>t derniers.</w:t>
      </w:r>
      <w:r w:rsidR="00F65AC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                                                        </w:t>
      </w:r>
    </w:p>
    <w:p w14:paraId="202CAE24" w14:textId="3AB473A0" w:rsidR="007D5FDE" w:rsidRDefault="007D5FDE" w:rsidP="004C756A">
      <w:pPr>
        <w:pStyle w:val="NormalWeb"/>
        <w:spacing w:before="301" w:beforeAutospacing="0" w:after="0" w:line="240" w:lineRule="auto"/>
        <w:rPr>
          <w:rFonts w:asciiTheme="minorHAnsi" w:hAnsiTheme="minorHAnsi" w:cstheme="minorHAnsi"/>
          <w:color w:val="000000"/>
        </w:rPr>
      </w:pPr>
      <w:r w:rsidRPr="004C756A">
        <w:rPr>
          <w:rFonts w:asciiTheme="minorHAnsi" w:hAnsiTheme="minorHAnsi" w:cstheme="minorHAnsi"/>
          <w:color w:val="000000"/>
        </w:rPr>
        <w:t xml:space="preserve">En parallèle, la Commission </w:t>
      </w:r>
      <w:r w:rsidR="0041502F">
        <w:rPr>
          <w:rFonts w:asciiTheme="minorHAnsi" w:hAnsiTheme="minorHAnsi" w:cstheme="minorHAnsi"/>
          <w:color w:val="000000"/>
        </w:rPr>
        <w:t xml:space="preserve">a </w:t>
      </w:r>
      <w:r w:rsidRPr="004C756A">
        <w:rPr>
          <w:rFonts w:asciiTheme="minorHAnsi" w:hAnsiTheme="minorHAnsi" w:cstheme="minorHAnsi"/>
          <w:color w:val="000000"/>
        </w:rPr>
        <w:t>propos</w:t>
      </w:r>
      <w:r w:rsidR="0041502F">
        <w:rPr>
          <w:rFonts w:asciiTheme="minorHAnsi" w:hAnsiTheme="minorHAnsi" w:cstheme="minorHAnsi"/>
          <w:color w:val="000000"/>
        </w:rPr>
        <w:t>é</w:t>
      </w:r>
      <w:r w:rsidRPr="004C756A">
        <w:rPr>
          <w:rFonts w:asciiTheme="minorHAnsi" w:hAnsiTheme="minorHAnsi" w:cstheme="minorHAnsi"/>
          <w:color w:val="000000"/>
        </w:rPr>
        <w:t xml:space="preserve"> dans son plan de relance européen et plus particulièrement dans le dispositif </w:t>
      </w:r>
      <w:r w:rsidRPr="004C756A">
        <w:rPr>
          <w:rFonts w:asciiTheme="minorHAnsi" w:hAnsiTheme="minorHAnsi" w:cstheme="minorHAnsi"/>
          <w:b/>
          <w:color w:val="000000"/>
        </w:rPr>
        <w:t>« </w:t>
      </w:r>
      <w:proofErr w:type="spellStart"/>
      <w:r w:rsidRPr="004C756A">
        <w:rPr>
          <w:rFonts w:asciiTheme="minorHAnsi" w:hAnsiTheme="minorHAnsi" w:cstheme="minorHAnsi"/>
          <w:b/>
          <w:color w:val="000000"/>
        </w:rPr>
        <w:t>Recovery</w:t>
      </w:r>
      <w:proofErr w:type="spellEnd"/>
      <w:r w:rsidRPr="004C756A">
        <w:rPr>
          <w:rFonts w:asciiTheme="minorHAnsi" w:hAnsiTheme="minorHAnsi" w:cstheme="minorHAnsi"/>
          <w:b/>
          <w:color w:val="000000"/>
        </w:rPr>
        <w:t xml:space="preserve"> Assistance for Cohésion and the </w:t>
      </w:r>
      <w:proofErr w:type="spellStart"/>
      <w:r w:rsidRPr="004C756A">
        <w:rPr>
          <w:rFonts w:asciiTheme="minorHAnsi" w:hAnsiTheme="minorHAnsi" w:cstheme="minorHAnsi"/>
          <w:b/>
          <w:color w:val="000000"/>
        </w:rPr>
        <w:t>territories</w:t>
      </w:r>
      <w:proofErr w:type="spellEnd"/>
      <w:r w:rsidRPr="004C756A">
        <w:rPr>
          <w:rFonts w:asciiTheme="minorHAnsi" w:hAnsiTheme="minorHAnsi" w:cstheme="minorHAnsi"/>
          <w:b/>
          <w:color w:val="000000"/>
        </w:rPr>
        <w:t xml:space="preserve"> of Europe » (REACT-UE )</w:t>
      </w:r>
      <w:r w:rsidRPr="004C756A">
        <w:rPr>
          <w:rFonts w:asciiTheme="minorHAnsi" w:hAnsiTheme="minorHAnsi" w:cstheme="minorHAnsi"/>
          <w:color w:val="000000"/>
        </w:rPr>
        <w:t xml:space="preserve"> des ressources supplémentaires qui permettront à la Région de </w:t>
      </w:r>
      <w:r w:rsidRPr="00635623">
        <w:rPr>
          <w:rFonts w:asciiTheme="minorHAnsi" w:hAnsiTheme="minorHAnsi" w:cstheme="minorHAnsi"/>
          <w:b/>
          <w:color w:val="000000"/>
        </w:rPr>
        <w:t xml:space="preserve">soutenir </w:t>
      </w:r>
      <w:r w:rsidR="00635623" w:rsidRPr="00635623">
        <w:rPr>
          <w:rFonts w:asciiTheme="minorHAnsi" w:hAnsiTheme="minorHAnsi" w:cstheme="minorHAnsi"/>
          <w:b/>
          <w:color w:val="000000"/>
        </w:rPr>
        <w:t>les PME</w:t>
      </w:r>
      <w:r w:rsidR="00635623">
        <w:rPr>
          <w:rFonts w:asciiTheme="minorHAnsi" w:hAnsiTheme="minorHAnsi" w:cstheme="minorHAnsi"/>
          <w:color w:val="000000"/>
        </w:rPr>
        <w:t xml:space="preserve">, </w:t>
      </w:r>
      <w:r w:rsidRPr="004C756A">
        <w:rPr>
          <w:rFonts w:asciiTheme="minorHAnsi" w:hAnsiTheme="minorHAnsi" w:cstheme="minorHAnsi"/>
          <w:color w:val="000000"/>
        </w:rPr>
        <w:t xml:space="preserve">la </w:t>
      </w:r>
      <w:r w:rsidRPr="004C756A">
        <w:rPr>
          <w:rFonts w:asciiTheme="minorHAnsi" w:hAnsiTheme="minorHAnsi" w:cstheme="minorHAnsi"/>
          <w:b/>
          <w:color w:val="000000"/>
        </w:rPr>
        <w:t>création et le maintien de l’emploi, le système de santé, le  changement climatiqu</w:t>
      </w:r>
      <w:r w:rsidR="00D01DEF">
        <w:rPr>
          <w:rFonts w:asciiTheme="minorHAnsi" w:hAnsiTheme="minorHAnsi" w:cstheme="minorHAnsi"/>
          <w:b/>
          <w:color w:val="000000"/>
        </w:rPr>
        <w:t xml:space="preserve">e, la </w:t>
      </w:r>
      <w:r w:rsidRPr="004C756A">
        <w:rPr>
          <w:rFonts w:asciiTheme="minorHAnsi" w:hAnsiTheme="minorHAnsi" w:cstheme="minorHAnsi"/>
          <w:b/>
          <w:color w:val="000000"/>
        </w:rPr>
        <w:t>transit</w:t>
      </w:r>
      <w:r w:rsidR="00635623">
        <w:rPr>
          <w:rFonts w:asciiTheme="minorHAnsi" w:hAnsiTheme="minorHAnsi" w:cstheme="minorHAnsi"/>
          <w:b/>
          <w:color w:val="000000"/>
        </w:rPr>
        <w:t>ion numérique</w:t>
      </w:r>
      <w:r w:rsidRPr="004C756A">
        <w:rPr>
          <w:rFonts w:asciiTheme="minorHAnsi" w:hAnsiTheme="minorHAnsi" w:cstheme="minorHAnsi"/>
          <w:color w:val="000000"/>
        </w:rPr>
        <w:t xml:space="preserve">. Ce soutien sera disponible dans tous les secteurs </w:t>
      </w:r>
      <w:r w:rsidR="004C756A" w:rsidRPr="004C756A">
        <w:rPr>
          <w:rFonts w:asciiTheme="minorHAnsi" w:hAnsiTheme="minorHAnsi" w:cstheme="minorHAnsi"/>
          <w:color w:val="000000"/>
        </w:rPr>
        <w:t xml:space="preserve">touchés par la crise </w:t>
      </w:r>
      <w:r w:rsidR="00635623">
        <w:rPr>
          <w:rFonts w:asciiTheme="minorHAnsi" w:hAnsiTheme="minorHAnsi" w:cstheme="minorHAnsi"/>
          <w:color w:val="000000"/>
        </w:rPr>
        <w:t>notamment</w:t>
      </w:r>
      <w:r w:rsidR="004C756A" w:rsidRPr="004C756A">
        <w:rPr>
          <w:rFonts w:asciiTheme="minorHAnsi" w:hAnsiTheme="minorHAnsi" w:cstheme="minorHAnsi"/>
          <w:color w:val="000000"/>
        </w:rPr>
        <w:t xml:space="preserve"> </w:t>
      </w:r>
      <w:r w:rsidRPr="004C756A">
        <w:rPr>
          <w:rFonts w:asciiTheme="minorHAnsi" w:hAnsiTheme="minorHAnsi" w:cstheme="minorHAnsi"/>
          <w:color w:val="000000"/>
        </w:rPr>
        <w:t xml:space="preserve">le tourisme et la culture. Dans l’attente de la validation de ces propositions par le </w:t>
      </w:r>
      <w:r w:rsidR="00635623">
        <w:rPr>
          <w:rFonts w:asciiTheme="minorHAnsi" w:hAnsiTheme="minorHAnsi" w:cstheme="minorHAnsi"/>
          <w:color w:val="000000"/>
        </w:rPr>
        <w:t xml:space="preserve">Parlement européen après le </w:t>
      </w:r>
      <w:r w:rsidRPr="004C756A">
        <w:rPr>
          <w:rFonts w:asciiTheme="minorHAnsi" w:hAnsiTheme="minorHAnsi" w:cstheme="minorHAnsi"/>
          <w:color w:val="000000"/>
        </w:rPr>
        <w:t xml:space="preserve">Conseil </w:t>
      </w:r>
      <w:r w:rsidR="00635623">
        <w:rPr>
          <w:rFonts w:asciiTheme="minorHAnsi" w:hAnsiTheme="minorHAnsi" w:cstheme="minorHAnsi"/>
          <w:color w:val="000000"/>
        </w:rPr>
        <w:t>e</w:t>
      </w:r>
      <w:r w:rsidRPr="004C756A">
        <w:rPr>
          <w:rFonts w:asciiTheme="minorHAnsi" w:hAnsiTheme="minorHAnsi" w:cstheme="minorHAnsi"/>
          <w:color w:val="000000"/>
        </w:rPr>
        <w:t>uropéen</w:t>
      </w:r>
      <w:r w:rsidR="00635623">
        <w:rPr>
          <w:rFonts w:asciiTheme="minorHAnsi" w:hAnsiTheme="minorHAnsi" w:cstheme="minorHAnsi"/>
          <w:color w:val="000000"/>
        </w:rPr>
        <w:t xml:space="preserve"> de juillet dernier</w:t>
      </w:r>
      <w:r w:rsidRPr="004C756A">
        <w:rPr>
          <w:rFonts w:asciiTheme="minorHAnsi" w:hAnsiTheme="minorHAnsi" w:cstheme="minorHAnsi"/>
          <w:color w:val="000000"/>
        </w:rPr>
        <w:t>, la Région a commencé un travail d’identification des mesures pos</w:t>
      </w:r>
      <w:r w:rsidR="00635623">
        <w:rPr>
          <w:rFonts w:asciiTheme="minorHAnsi" w:hAnsiTheme="minorHAnsi" w:cstheme="minorHAnsi"/>
          <w:color w:val="000000"/>
        </w:rPr>
        <w:t>sibles pour mobiliser c</w:t>
      </w:r>
      <w:r w:rsidRPr="004C756A">
        <w:rPr>
          <w:rFonts w:asciiTheme="minorHAnsi" w:hAnsiTheme="minorHAnsi" w:cstheme="minorHAnsi"/>
          <w:color w:val="000000"/>
        </w:rPr>
        <w:t>es fonds européens supplémentaires qui viendraient abonder les programmes opérationnels actuels.</w:t>
      </w:r>
    </w:p>
    <w:p w14:paraId="762FA32A" w14:textId="77777777" w:rsidR="001C0E33" w:rsidRDefault="001C0E33" w:rsidP="004C756A">
      <w:pPr>
        <w:pStyle w:val="NormalWeb"/>
        <w:spacing w:before="301" w:beforeAutospacing="0" w:after="0" w:line="240" w:lineRule="auto"/>
        <w:rPr>
          <w:rFonts w:asciiTheme="minorHAnsi" w:hAnsiTheme="minorHAnsi" w:cstheme="minorHAnsi"/>
          <w:color w:val="000000"/>
        </w:rPr>
      </w:pPr>
    </w:p>
    <w:p w14:paraId="721D50BA" w14:textId="77777777" w:rsidR="00011D9F" w:rsidRDefault="00011D9F" w:rsidP="001C0E33">
      <w:pPr>
        <w:pStyle w:val="NormalWeb"/>
        <w:spacing w:before="0" w:beforeAutospacing="0"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Pour en savoir +</w:t>
      </w:r>
    </w:p>
    <w:p w14:paraId="50784766" w14:textId="3ADCB436" w:rsidR="001C0E33" w:rsidRDefault="001C0E33" w:rsidP="001C0E33">
      <w:pPr>
        <w:pStyle w:val="NormalWeb"/>
        <w:spacing w:before="0" w:beforeAutospacing="0" w:after="0" w:line="360" w:lineRule="auto"/>
        <w:rPr>
          <w:rFonts w:cstheme="minorHAnsi"/>
          <w:color w:val="000000"/>
        </w:rPr>
      </w:pPr>
      <w:hyperlink r:id="rId5" w:history="1">
        <w:r w:rsidRPr="001C0E33">
          <w:rPr>
            <w:rStyle w:val="Lienhypertexte"/>
            <w:rFonts w:asciiTheme="minorHAnsi" w:hAnsiTheme="minorHAnsi" w:cstheme="minorHAnsi"/>
          </w:rPr>
          <w:t xml:space="preserve">Dispositif </w:t>
        </w:r>
        <w:r w:rsidRPr="001C0E33">
          <w:rPr>
            <w:rStyle w:val="Lienhypertexte"/>
            <w:rFonts w:cstheme="minorHAnsi"/>
            <w:b/>
          </w:rPr>
          <w:t>« Initiative d’investissement e</w:t>
        </w:r>
        <w:r w:rsidRPr="001C0E33">
          <w:rPr>
            <w:rStyle w:val="Lienhypertexte"/>
            <w:rFonts w:cstheme="minorHAnsi"/>
            <w:b/>
          </w:rPr>
          <w:t>n</w:t>
        </w:r>
        <w:r w:rsidRPr="001C0E33">
          <w:rPr>
            <w:rStyle w:val="Lienhypertexte"/>
            <w:rFonts w:cstheme="minorHAnsi"/>
            <w:b/>
          </w:rPr>
          <w:t xml:space="preserve"> réaction au Coronavirus» (CRII)</w:t>
        </w:r>
        <w:r w:rsidRPr="001C0E33">
          <w:rPr>
            <w:rStyle w:val="Lienhypertexte"/>
            <w:rFonts w:cstheme="minorHAnsi"/>
          </w:rPr>
          <w:t>,</w:t>
        </w:r>
      </w:hyperlink>
    </w:p>
    <w:p w14:paraId="4E5026BA" w14:textId="04998F69" w:rsidR="001C0E33" w:rsidRDefault="001C0E33" w:rsidP="001C0E33">
      <w:pPr>
        <w:pStyle w:val="NormalWeb"/>
        <w:spacing w:before="0" w:beforeAutospacing="0" w:after="0" w:line="240" w:lineRule="auto"/>
        <w:rPr>
          <w:rFonts w:asciiTheme="minorHAnsi" w:hAnsiTheme="minorHAnsi" w:cstheme="minorHAnsi"/>
          <w:color w:val="000000"/>
        </w:rPr>
      </w:pPr>
      <w:hyperlink r:id="rId6" w:history="1">
        <w:r w:rsidRPr="001C0E33">
          <w:rPr>
            <w:rStyle w:val="Lienhypertexte"/>
            <w:rFonts w:cstheme="minorHAnsi"/>
          </w:rPr>
          <w:t xml:space="preserve">Dispositif </w:t>
        </w:r>
        <w:r w:rsidRPr="001C0E33">
          <w:rPr>
            <w:rStyle w:val="Lienhypertexte"/>
            <w:rFonts w:asciiTheme="minorHAnsi" w:hAnsiTheme="minorHAnsi" w:cstheme="minorHAnsi"/>
            <w:b/>
          </w:rPr>
          <w:t>« </w:t>
        </w:r>
        <w:proofErr w:type="spellStart"/>
        <w:r w:rsidRPr="001C0E33">
          <w:rPr>
            <w:rStyle w:val="Lienhypertexte"/>
            <w:rFonts w:asciiTheme="minorHAnsi" w:hAnsiTheme="minorHAnsi" w:cstheme="minorHAnsi"/>
            <w:b/>
          </w:rPr>
          <w:t>Recovery</w:t>
        </w:r>
        <w:proofErr w:type="spellEnd"/>
        <w:r w:rsidRPr="001C0E33">
          <w:rPr>
            <w:rStyle w:val="Lienhypertexte"/>
            <w:rFonts w:asciiTheme="minorHAnsi" w:hAnsiTheme="minorHAnsi" w:cstheme="minorHAnsi"/>
            <w:b/>
          </w:rPr>
          <w:t xml:space="preserve"> Assistance for Cohésion and th</w:t>
        </w:r>
        <w:r w:rsidRPr="001C0E33">
          <w:rPr>
            <w:rStyle w:val="Lienhypertexte"/>
            <w:rFonts w:asciiTheme="minorHAnsi" w:hAnsiTheme="minorHAnsi" w:cstheme="minorHAnsi"/>
            <w:b/>
          </w:rPr>
          <w:t>e</w:t>
        </w:r>
        <w:r w:rsidRPr="001C0E33">
          <w:rPr>
            <w:rStyle w:val="Lienhypertexte"/>
            <w:rFonts w:asciiTheme="minorHAnsi" w:hAnsiTheme="minorHAnsi" w:cstheme="minorHAnsi"/>
            <w:b/>
          </w:rPr>
          <w:t xml:space="preserve"> </w:t>
        </w:r>
        <w:proofErr w:type="spellStart"/>
        <w:r w:rsidRPr="001C0E33">
          <w:rPr>
            <w:rStyle w:val="Lienhypertexte"/>
            <w:rFonts w:asciiTheme="minorHAnsi" w:hAnsiTheme="minorHAnsi" w:cstheme="minorHAnsi"/>
            <w:b/>
          </w:rPr>
          <w:t>territories</w:t>
        </w:r>
        <w:proofErr w:type="spellEnd"/>
        <w:r w:rsidRPr="001C0E33">
          <w:rPr>
            <w:rStyle w:val="Lienhypertexte"/>
            <w:rFonts w:asciiTheme="minorHAnsi" w:hAnsiTheme="minorHAnsi" w:cstheme="minorHAnsi"/>
            <w:b/>
          </w:rPr>
          <w:t xml:space="preserve"> of Europe » (REACT-</w:t>
        </w:r>
        <w:proofErr w:type="gramStart"/>
        <w:r w:rsidRPr="001C0E33">
          <w:rPr>
            <w:rStyle w:val="Lienhypertexte"/>
            <w:rFonts w:asciiTheme="minorHAnsi" w:hAnsiTheme="minorHAnsi" w:cstheme="minorHAnsi"/>
            <w:b/>
          </w:rPr>
          <w:t>UE )</w:t>
        </w:r>
        <w:proofErr w:type="gramEnd"/>
      </w:hyperlink>
    </w:p>
    <w:p w14:paraId="247071EE" w14:textId="48AEEC79" w:rsidR="00011D9F" w:rsidRPr="004C756A" w:rsidRDefault="00011D9F" w:rsidP="001C0E33">
      <w:pPr>
        <w:pStyle w:val="NormalWeb"/>
        <w:spacing w:before="301" w:beforeAutospacing="0"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</w:p>
    <w:p w14:paraId="6D2161F5" w14:textId="77777777" w:rsidR="007D5FDE" w:rsidRPr="004C756A" w:rsidRDefault="007D5FDE" w:rsidP="009D653B">
      <w:pPr>
        <w:pStyle w:val="NormalWeb"/>
        <w:spacing w:before="301" w:beforeAutospacing="0" w:after="0" w:line="240" w:lineRule="auto"/>
        <w:jc w:val="both"/>
        <w:rPr>
          <w:rFonts w:asciiTheme="minorHAnsi" w:hAnsiTheme="minorHAnsi" w:cstheme="minorHAnsi"/>
        </w:rPr>
      </w:pPr>
    </w:p>
    <w:p w14:paraId="4CB43985" w14:textId="77777777" w:rsidR="008800F9" w:rsidRDefault="008800F9">
      <w:pPr>
        <w:rPr>
          <w:sz w:val="24"/>
          <w:szCs w:val="24"/>
        </w:rPr>
      </w:pPr>
    </w:p>
    <w:p w14:paraId="390F8C11" w14:textId="77777777" w:rsidR="00B2786D" w:rsidRPr="008800F9" w:rsidRDefault="00B2786D">
      <w:pPr>
        <w:rPr>
          <w:sz w:val="24"/>
          <w:szCs w:val="24"/>
        </w:rPr>
      </w:pPr>
    </w:p>
    <w:sectPr w:rsidR="00B2786D" w:rsidRPr="0088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62C15"/>
    <w:multiLevelType w:val="hybridMultilevel"/>
    <w:tmpl w:val="918C498E"/>
    <w:lvl w:ilvl="0" w:tplc="17C2BC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DE"/>
    <w:rsid w:val="00011D9F"/>
    <w:rsid w:val="001C0E33"/>
    <w:rsid w:val="00257255"/>
    <w:rsid w:val="003532D2"/>
    <w:rsid w:val="003B347D"/>
    <w:rsid w:val="0041502F"/>
    <w:rsid w:val="004C756A"/>
    <w:rsid w:val="00604192"/>
    <w:rsid w:val="00635623"/>
    <w:rsid w:val="00677A04"/>
    <w:rsid w:val="006815FF"/>
    <w:rsid w:val="007D5FDE"/>
    <w:rsid w:val="008800F9"/>
    <w:rsid w:val="009D653B"/>
    <w:rsid w:val="00B2786D"/>
    <w:rsid w:val="00C512DB"/>
    <w:rsid w:val="00D01DEF"/>
    <w:rsid w:val="00EC3DDE"/>
    <w:rsid w:val="00F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289A"/>
  <w15:chartTrackingRefBased/>
  <w15:docId w15:val="{E980182F-E261-4303-97EF-2D7F5FBA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DD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0F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800F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800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00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00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00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00F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11D9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1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commission/presscorner/detail/fr/QANDA_20_948" TargetMode="External"/><Relationship Id="rId5" Type="http://schemas.openxmlformats.org/officeDocument/2006/relationships/hyperlink" Target="https://ec.europa.eu/regional_policy/fr/newsroom/news/2020/03/30-03-2020-coronavirus-response-investment-initiative-adop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JUNG</dc:creator>
  <cp:keywords/>
  <dc:description/>
  <cp:lastModifiedBy>Sandra JUNG</cp:lastModifiedBy>
  <cp:revision>6</cp:revision>
  <cp:lastPrinted>2020-09-03T13:43:00Z</cp:lastPrinted>
  <dcterms:created xsi:type="dcterms:W3CDTF">2020-09-03T14:25:00Z</dcterms:created>
  <dcterms:modified xsi:type="dcterms:W3CDTF">2020-09-04T09:51:00Z</dcterms:modified>
</cp:coreProperties>
</file>